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ascii="楷体" w:hAnsi="楷体" w:eastAsia="楷体" w:cs="楷体"/>
          <w:b/>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312" w:charSpace="0"/>
        </w:sectPr>
      </w:pPr>
      <w:r>
        <w:rPr>
          <w:rFonts w:hint="eastAsia"/>
          <w:b/>
          <w:sz w:val="44"/>
          <w:szCs w:val="44"/>
        </w:rPr>
        <w:t>文安县水务局</w:t>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(一)拟定全县水利工作的方针政策、发展战略、中长期规划和年度计划，组织起草有关法规、规章并监督实施。</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二)统一管理全县水资源(含空中水、地表水、地下水)。组织拟定全县和跨县(区、市)水长期供求计划、水量分配方案并监督实施；组织有关国民经济总体规划、城市规划及重大建设项目的水资源和防洪论证工作；组织实施取水许可制度和水资源费征收制度；发布全县水资源公报。</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(三)拟定全县节约用水政策，编制节约用水规划，制定有关标准，组织、指导和监督全县节约用水工作。</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(四)按照国家资源与环境保护的有关法律法规和标准，拟定水资源保护规划；组织水功能区划分和向不同功能区水域排污的控制；监测河渠水量、水质，审定水域纳污能力，提出限制排污总量的意见。</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(五)组织、指导水政监察和水行政执法；协调并仲裁部门间和乡镇际间水事纠纷。</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六)拟定全县水利行业经济调节措施；对水利资金的使用进行宏观调节；指导水利行业供水和多种经营工作；贯彻执行国家有关水利的资产、价费、税收、信贷、财务等政策，配合有关部门制定本县政策并组织实施；按照国家有关规定监督管理水利系统国有资产。</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(七)负责全县大中小水利基建项目建议书、可行性报告和初步设计的编制、审查、报批；组织重点水利科学研究和推广。</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(八)组织、指导全县水利设施、水域及其岸线的管理与保护；组织指导主要河道、滩涂的治理和开发；负责全县水利工程建设的行业管理；组织建设和管理具有控制性的或跨县(区、市)的重要水利工程。</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(九)指导全县农村水利工作；组织协调农田水利基本建设、城乡供水和农村水利社会化服务体系建设。  负责城区供水事业发展规划的制定和供水设施(水源井、输水管理)建设和维修，负责城区生活、工业、饮食、服务业用水的供给和日常管理工作，</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(十)组织全县水土保持工作；研究制定水土保持规划，组织水土流失的监测和综合防治。</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(十一)负责水利方面科技、外事工作；指导全县水利队伍建设。</w:t>
      </w:r>
    </w:p>
    <w:p>
      <w:pPr>
        <w:widowControl/>
        <w:wordWrap w:val="0"/>
        <w:spacing w:line="420" w:lineRule="atLeast"/>
        <w:ind w:firstLine="560"/>
        <w:jc w:val="left"/>
        <w:rPr>
          <w:rFonts w:ascii="仿宋" w:hAnsi="仿宋" w:eastAsia="仿宋" w:cs="宋体"/>
          <w:kern w:val="0"/>
          <w:sz w:val="32"/>
          <w:szCs w:val="32"/>
        </w:rPr>
      </w:pPr>
      <w:r>
        <w:rPr>
          <w:rFonts w:hint="eastAsia" w:ascii="仿宋" w:hAnsi="仿宋" w:eastAsia="仿宋" w:cs="宋体"/>
          <w:color w:val="484747"/>
          <w:kern w:val="0"/>
          <w:sz w:val="32"/>
          <w:szCs w:val="32"/>
        </w:rPr>
        <w:t>(十二)承担县防汛抗旱指挥部的日常工作。组织、协调、监督、指导全县防汛抗旱工作，对主要行洪排沥河道和重要水利工程实施防汛抗旱调度。</w:t>
      </w:r>
    </w:p>
    <w:p>
      <w:pPr>
        <w:pStyle w:val="2"/>
        <w:spacing w:before="0" w:after="0" w:line="600" w:lineRule="exact"/>
        <w:jc w:val="left"/>
        <w:rPr>
          <w:rFonts w:ascii="仿宋" w:hAnsi="仿宋" w:eastAsia="仿宋" w:cs="宋体"/>
          <w:b w:val="0"/>
          <w:bCs w:val="0"/>
          <w:color w:val="484747"/>
          <w:kern w:val="0"/>
          <w:sz w:val="32"/>
          <w:szCs w:val="32"/>
        </w:rPr>
      </w:pPr>
      <w:r>
        <w:rPr>
          <w:rFonts w:hint="eastAsia" w:ascii="仿宋" w:hAnsi="仿宋" w:eastAsia="仿宋" w:cs="宋体"/>
          <w:b w:val="0"/>
          <w:bCs w:val="0"/>
          <w:color w:val="484747"/>
          <w:kern w:val="0"/>
          <w:sz w:val="32"/>
          <w:szCs w:val="32"/>
        </w:rPr>
        <w:t>(十三)承办县政府交办的其它事项。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234"/>
        <w:gridCol w:w="2696"/>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234"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69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234"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文安县水务局(本级)</w:t>
            </w:r>
          </w:p>
        </w:tc>
        <w:tc>
          <w:tcPr>
            <w:tcW w:w="2696"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财政补助事业单位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234" w:type="dxa"/>
          </w:tcPr>
          <w:p>
            <w:pPr>
              <w:spacing w:after="0" w:line="560" w:lineRule="exact"/>
              <w:rPr>
                <w:rFonts w:ascii="仿宋_GB2312" w:eastAsia="仿宋_GB2312" w:cs="ArialUnicodeMS" w:hAnsiTheme="minorHAnsi"/>
                <w:kern w:val="0"/>
                <w:sz w:val="28"/>
                <w:szCs w:val="28"/>
              </w:rPr>
            </w:pPr>
          </w:p>
        </w:tc>
        <w:tc>
          <w:tcPr>
            <w:tcW w:w="2696"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234" w:type="dxa"/>
          </w:tcPr>
          <w:p>
            <w:pPr>
              <w:spacing w:after="0" w:line="560" w:lineRule="exact"/>
              <w:rPr>
                <w:rFonts w:ascii="仿宋_GB2312" w:eastAsia="仿宋_GB2312" w:cs="ArialUnicodeMS" w:hAnsiTheme="minorHAnsi"/>
                <w:kern w:val="0"/>
                <w:sz w:val="28"/>
                <w:szCs w:val="28"/>
              </w:rPr>
            </w:pPr>
          </w:p>
        </w:tc>
        <w:tc>
          <w:tcPr>
            <w:tcW w:w="2696"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3234" w:type="dxa"/>
            <w:tcBorders>
              <w:bottom w:val="single" w:color="auto" w:sz="4" w:space="0"/>
            </w:tcBorders>
          </w:tcPr>
          <w:p>
            <w:pPr>
              <w:spacing w:after="0" w:line="560" w:lineRule="exact"/>
              <w:rPr>
                <w:rFonts w:ascii="仿宋_GB2312" w:eastAsia="仿宋_GB2312" w:cs="ArialUnicodeMS" w:hAnsiTheme="minorHAnsi"/>
                <w:kern w:val="0"/>
                <w:sz w:val="28"/>
                <w:szCs w:val="28"/>
              </w:rPr>
            </w:pPr>
          </w:p>
        </w:tc>
        <w:tc>
          <w:tcPr>
            <w:tcW w:w="2696"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2018年度部门决算报表（附表）</w:t>
      </w:r>
    </w:p>
    <w:p>
      <w:pPr>
        <w:widowControl/>
        <w:spacing w:line="560" w:lineRule="exact"/>
        <w:jc w:val="center"/>
        <w:rPr>
          <w:rFonts w:ascii="黑体" w:eastAsia="黑体" w:cs="MS-UIGothic,Bold" w:hAnsiTheme="minorHAnsi"/>
          <w:bCs/>
          <w:kern w:val="0"/>
          <w:sz w:val="52"/>
          <w:szCs w:val="52"/>
        </w:rPr>
      </w:pPr>
    </w:p>
    <w:tbl>
      <w:tblPr>
        <w:tblStyle w:val="12"/>
        <w:tblW w:w="9300" w:type="dxa"/>
        <w:jc w:val="center"/>
        <w:tblLayout w:type="fixed"/>
        <w:tblCellMar>
          <w:top w:w="0" w:type="dxa"/>
          <w:left w:w="0" w:type="dxa"/>
          <w:bottom w:w="0" w:type="dxa"/>
          <w:right w:w="0" w:type="dxa"/>
        </w:tblCellMar>
      </w:tblPr>
      <w:tblGrid>
        <w:gridCol w:w="289"/>
        <w:gridCol w:w="45"/>
        <w:gridCol w:w="179"/>
        <w:gridCol w:w="65"/>
        <w:gridCol w:w="455"/>
        <w:gridCol w:w="348"/>
        <w:gridCol w:w="970"/>
        <w:gridCol w:w="147"/>
        <w:gridCol w:w="201"/>
        <w:gridCol w:w="185"/>
        <w:gridCol w:w="261"/>
        <w:gridCol w:w="121"/>
        <w:gridCol w:w="694"/>
        <w:gridCol w:w="303"/>
        <w:gridCol w:w="339"/>
        <w:gridCol w:w="174"/>
        <w:gridCol w:w="607"/>
        <w:gridCol w:w="208"/>
        <w:gridCol w:w="815"/>
        <w:gridCol w:w="95"/>
        <w:gridCol w:w="801"/>
        <w:gridCol w:w="319"/>
        <w:gridCol w:w="248"/>
        <w:gridCol w:w="931"/>
        <w:gridCol w:w="199"/>
        <w:gridCol w:w="301"/>
      </w:tblGrid>
      <w:tr>
        <w:tblPrEx>
          <w:tblCellMar>
            <w:top w:w="0" w:type="dxa"/>
            <w:left w:w="0" w:type="dxa"/>
            <w:bottom w:w="0" w:type="dxa"/>
            <w:right w:w="0" w:type="dxa"/>
          </w:tblCellMar>
        </w:tblPrEx>
        <w:trPr>
          <w:trHeight w:val="567" w:hRule="atLeast"/>
          <w:jc w:val="center"/>
        </w:trPr>
        <w:tc>
          <w:tcPr>
            <w:tcW w:w="9300" w:type="dxa"/>
            <w:gridSpan w:val="2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p>
        </w:tc>
      </w:tr>
      <w:tr>
        <w:tblPrEx>
          <w:tblCellMar>
            <w:top w:w="0" w:type="dxa"/>
            <w:left w:w="0" w:type="dxa"/>
            <w:bottom w:w="0" w:type="dxa"/>
            <w:right w:w="0" w:type="dxa"/>
          </w:tblCellMar>
        </w:tblPrEx>
        <w:trPr>
          <w:trHeight w:val="321" w:hRule="atLeast"/>
          <w:jc w:val="center"/>
        </w:trPr>
        <w:tc>
          <w:tcPr>
            <w:tcW w:w="2699"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418" w:hRule="atLeast"/>
          <w:jc w:val="center"/>
        </w:trPr>
        <w:tc>
          <w:tcPr>
            <w:tcW w:w="2699"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p>
        </w:tc>
        <w:tc>
          <w:tcPr>
            <w:tcW w:w="567"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gridAfter w:val="2"/>
          <w:wAfter w:w="500" w:type="dxa"/>
          <w:trHeight w:val="770" w:hRule="atLeast"/>
          <w:jc w:val="center"/>
        </w:trPr>
        <w:tc>
          <w:tcPr>
            <w:tcW w:w="8800" w:type="dxa"/>
            <w:gridSpan w:val="24"/>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p>
        </w:tc>
      </w:tr>
      <w:tr>
        <w:tblPrEx>
          <w:tblCellMar>
            <w:top w:w="0" w:type="dxa"/>
            <w:left w:w="0" w:type="dxa"/>
            <w:bottom w:w="0" w:type="dxa"/>
            <w:right w:w="0" w:type="dxa"/>
          </w:tblCellMar>
        </w:tblPrEx>
        <w:trPr>
          <w:gridAfter w:val="2"/>
          <w:wAfter w:w="500" w:type="dxa"/>
          <w:trHeight w:val="362" w:hRule="atLeast"/>
          <w:jc w:val="center"/>
        </w:trPr>
        <w:tc>
          <w:tcPr>
            <w:tcW w:w="33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2"/>
          <w:wAfter w:w="500" w:type="dxa"/>
          <w:trHeight w:val="362" w:hRule="atLeast"/>
          <w:jc w:val="center"/>
        </w:trPr>
        <w:tc>
          <w:tcPr>
            <w:tcW w:w="2884"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2"/>
          <w:wAfter w:w="500" w:type="dxa"/>
          <w:trHeight w:val="481" w:hRule="atLeast"/>
          <w:jc w:val="center"/>
        </w:trPr>
        <w:tc>
          <w:tcPr>
            <w:tcW w:w="8800" w:type="dxa"/>
            <w:gridSpan w:val="2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r>
      <w:tr>
        <w:tblPrEx>
          <w:tblCellMar>
            <w:top w:w="0" w:type="dxa"/>
            <w:left w:w="0" w:type="dxa"/>
            <w:bottom w:w="0" w:type="dxa"/>
            <w:right w:w="0" w:type="dxa"/>
          </w:tblCellMar>
        </w:tblPrEx>
        <w:trPr>
          <w:gridAfter w:val="1"/>
          <w:wAfter w:w="301" w:type="dxa"/>
          <w:trHeight w:val="798" w:hRule="atLeast"/>
          <w:jc w:val="center"/>
        </w:trPr>
        <w:tc>
          <w:tcPr>
            <w:tcW w:w="8999" w:type="dxa"/>
            <w:gridSpan w:val="2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p>
        </w:tc>
      </w:tr>
      <w:tr>
        <w:tblPrEx>
          <w:tblCellMar>
            <w:top w:w="0" w:type="dxa"/>
            <w:left w:w="0" w:type="dxa"/>
            <w:bottom w:w="0" w:type="dxa"/>
            <w:right w:w="0" w:type="dxa"/>
          </w:tblCellMar>
        </w:tblPrEx>
        <w:trPr>
          <w:gridAfter w:val="1"/>
          <w:wAfter w:w="301" w:type="dxa"/>
          <w:trHeight w:val="404" w:hRule="atLeast"/>
          <w:jc w:val="center"/>
        </w:trPr>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1"/>
          <w:wAfter w:w="301" w:type="dxa"/>
          <w:trHeight w:val="380" w:hRule="atLeast"/>
          <w:jc w:val="center"/>
        </w:trPr>
        <w:tc>
          <w:tcPr>
            <w:tcW w:w="3145"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p>
        </w:tc>
      </w:tr>
      <w:tr>
        <w:tblPrEx>
          <w:tblCellMar>
            <w:top w:w="0" w:type="dxa"/>
            <w:left w:w="0" w:type="dxa"/>
            <w:bottom w:w="0" w:type="dxa"/>
            <w:right w:w="0" w:type="dxa"/>
          </w:tblCellMar>
        </w:tblPrEx>
        <w:trPr>
          <w:gridAfter w:val="1"/>
          <w:wAfter w:w="301" w:type="dxa"/>
          <w:trHeight w:val="748" w:hRule="atLeast"/>
          <w:jc w:val="center"/>
        </w:trPr>
        <w:tc>
          <w:tcPr>
            <w:tcW w:w="8999" w:type="dxa"/>
            <w:gridSpan w:val="2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p>
        </w:tc>
      </w:tr>
    </w:tbl>
    <w:p>
      <w:pPr>
        <w:tabs>
          <w:tab w:val="left" w:pos="1086"/>
        </w:tabs>
        <w:jc w:val="left"/>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本部门2018年度结转和结余3115</w:t>
      </w:r>
      <w:r>
        <w:rPr>
          <w:rFonts w:hint="eastAsia" w:ascii="仿宋" w:hAnsi="仿宋" w:eastAsia="仿宋" w:cs="宋体"/>
          <w:sz w:val="32"/>
          <w:szCs w:val="32"/>
        </w:rPr>
        <w:t>.31万元，本年</w:t>
      </w:r>
      <w:r>
        <w:rPr>
          <w:rFonts w:hint="eastAsia" w:ascii="仿宋" w:hAnsi="仿宋" w:eastAsia="仿宋" w:cs="DengXian-Regular"/>
          <w:sz w:val="32"/>
          <w:szCs w:val="32"/>
        </w:rPr>
        <w:t>收入87</w:t>
      </w:r>
      <w:r>
        <w:rPr>
          <w:rFonts w:hint="eastAsia" w:ascii="仿宋" w:hAnsi="仿宋" w:eastAsia="仿宋" w:cs="宋体"/>
          <w:sz w:val="32"/>
          <w:szCs w:val="32"/>
        </w:rPr>
        <w:t>98.45</w:t>
      </w:r>
      <w:r>
        <w:rPr>
          <w:rFonts w:hint="eastAsia" w:ascii="仿宋" w:hAnsi="仿宋" w:eastAsia="仿宋" w:cs="DengXian-Regular"/>
          <w:sz w:val="32"/>
          <w:szCs w:val="32"/>
        </w:rPr>
        <w:t>万元，本年支出10685</w:t>
      </w:r>
      <w:r>
        <w:rPr>
          <w:rFonts w:hint="eastAsia" w:ascii="仿宋" w:hAnsi="仿宋" w:eastAsia="仿宋" w:cs="宋体"/>
          <w:sz w:val="32"/>
          <w:szCs w:val="32"/>
        </w:rPr>
        <w:t>.39万元，</w:t>
      </w:r>
      <w:r>
        <w:rPr>
          <w:rFonts w:hint="eastAsia" w:ascii="仿宋" w:hAnsi="仿宋" w:eastAsia="仿宋" w:cs="仿宋_GB2312"/>
          <w:color w:val="333333"/>
          <w:sz w:val="32"/>
          <w:szCs w:val="32"/>
          <w:shd w:val="clear" w:color="auto" w:fill="FFFFFF"/>
        </w:rPr>
        <w:t>年末结转和结余1228.37万元</w:t>
      </w:r>
      <w:r>
        <w:rPr>
          <w:rFonts w:hint="eastAsia" w:ascii="仿宋" w:hAnsi="仿宋" w:eastAsia="仿宋" w:cs="DengXian-Regular"/>
          <w:sz w:val="32"/>
          <w:szCs w:val="32"/>
        </w:rPr>
        <w:t>。与2017年度决算相比，收入减少35</w:t>
      </w:r>
      <w:r>
        <w:rPr>
          <w:rFonts w:hint="eastAsia" w:ascii="仿宋" w:hAnsi="仿宋" w:eastAsia="仿宋" w:cs="宋体"/>
          <w:sz w:val="32"/>
          <w:szCs w:val="32"/>
        </w:rPr>
        <w:t>49.23</w:t>
      </w:r>
      <w:r>
        <w:rPr>
          <w:rFonts w:hint="eastAsia" w:ascii="仿宋" w:hAnsi="仿宋" w:eastAsia="仿宋" w:cs="DengXian-Regular"/>
          <w:sz w:val="32"/>
          <w:szCs w:val="32"/>
        </w:rPr>
        <w:t>万元，下降22</w:t>
      </w:r>
      <w:r>
        <w:rPr>
          <w:rFonts w:hint="eastAsia" w:ascii="仿宋" w:hAnsi="仿宋" w:eastAsia="仿宋" w:cs="宋体"/>
          <w:sz w:val="32"/>
          <w:szCs w:val="32"/>
        </w:rPr>
        <w:t>.95</w:t>
      </w:r>
      <w:r>
        <w:rPr>
          <w:rFonts w:hint="eastAsia" w:ascii="仿宋" w:hAnsi="仿宋" w:eastAsia="仿宋" w:cs="DengXian-Regular"/>
          <w:sz w:val="32"/>
          <w:szCs w:val="32"/>
        </w:rPr>
        <w:t>%，支出减少12</w:t>
      </w:r>
      <w:r>
        <w:rPr>
          <w:rFonts w:hint="eastAsia" w:ascii="仿宋" w:hAnsi="仿宋" w:eastAsia="仿宋" w:cs="宋体"/>
          <w:sz w:val="32"/>
          <w:szCs w:val="32"/>
        </w:rPr>
        <w:t>96.68万元，下降10.82%，</w:t>
      </w:r>
      <w:r>
        <w:rPr>
          <w:rFonts w:hint="eastAsia" w:ascii="仿宋" w:hAnsi="仿宋" w:eastAsia="仿宋" w:cs="DengXian-Regular"/>
          <w:sz w:val="32"/>
          <w:szCs w:val="32"/>
        </w:rPr>
        <w:t>主要是2018年专项项目资金相比2017年有所减少。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本部门2018年度本年收入合计87</w:t>
      </w:r>
      <w:r>
        <w:rPr>
          <w:rFonts w:hint="eastAsia" w:ascii="仿宋" w:hAnsi="仿宋" w:eastAsia="仿宋" w:cs="宋体"/>
          <w:sz w:val="32"/>
          <w:szCs w:val="32"/>
        </w:rPr>
        <w:t>98.45</w:t>
      </w:r>
      <w:r>
        <w:rPr>
          <w:rFonts w:hint="eastAsia" w:ascii="仿宋" w:hAnsi="仿宋" w:eastAsia="仿宋" w:cs="DengXian-Regular"/>
          <w:sz w:val="32"/>
          <w:szCs w:val="32"/>
        </w:rPr>
        <w:t>万元，其中：财政拨款收入87</w:t>
      </w:r>
      <w:r>
        <w:rPr>
          <w:rFonts w:hint="eastAsia" w:ascii="仿宋" w:hAnsi="仿宋" w:eastAsia="仿宋" w:cs="宋体"/>
          <w:sz w:val="32"/>
          <w:szCs w:val="32"/>
        </w:rPr>
        <w:t>98.45</w:t>
      </w:r>
      <w:r>
        <w:rPr>
          <w:rFonts w:hint="eastAsia" w:ascii="仿宋" w:hAnsi="仿宋" w:eastAsia="仿宋" w:cs="DengXian-Regular"/>
          <w:sz w:val="32"/>
          <w:szCs w:val="32"/>
        </w:rPr>
        <w:t>万元，占100%；事业收入0万元，占0%；经营收入0万元，占0%；其他收入0万元，占0%。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本部门2018年度本年支出合计10685</w:t>
      </w:r>
      <w:r>
        <w:rPr>
          <w:rFonts w:hint="eastAsia" w:ascii="仿宋" w:hAnsi="仿宋" w:eastAsia="仿宋" w:cs="宋体"/>
          <w:sz w:val="32"/>
          <w:szCs w:val="32"/>
        </w:rPr>
        <w:t>.39</w:t>
      </w:r>
      <w:r>
        <w:rPr>
          <w:rFonts w:hint="eastAsia" w:ascii="仿宋" w:hAnsi="仿宋" w:eastAsia="仿宋" w:cs="DengXian-Regular"/>
          <w:sz w:val="32"/>
          <w:szCs w:val="32"/>
        </w:rPr>
        <w:t>万元，其中：基本支出1878</w:t>
      </w:r>
      <w:r>
        <w:rPr>
          <w:rFonts w:hint="eastAsia" w:ascii="仿宋" w:hAnsi="仿宋" w:eastAsia="仿宋" w:cs="宋体"/>
          <w:sz w:val="32"/>
          <w:szCs w:val="32"/>
        </w:rPr>
        <w:t>.36</w:t>
      </w:r>
      <w:r>
        <w:rPr>
          <w:rFonts w:hint="eastAsia" w:ascii="仿宋" w:hAnsi="仿宋" w:eastAsia="仿宋" w:cs="DengXian-Regular"/>
          <w:sz w:val="32"/>
          <w:szCs w:val="32"/>
        </w:rPr>
        <w:t>万元，占17</w:t>
      </w:r>
      <w:r>
        <w:rPr>
          <w:rFonts w:hint="eastAsia" w:ascii="仿宋" w:hAnsi="仿宋" w:eastAsia="仿宋" w:cs="宋体"/>
          <w:sz w:val="32"/>
          <w:szCs w:val="32"/>
        </w:rPr>
        <w:t>.58</w:t>
      </w:r>
      <w:r>
        <w:rPr>
          <w:rFonts w:hint="eastAsia" w:ascii="仿宋" w:hAnsi="仿宋" w:eastAsia="仿宋" w:cs="DengXian-Regular"/>
          <w:sz w:val="32"/>
          <w:szCs w:val="32"/>
        </w:rPr>
        <w:t>%；项目支出8807</w:t>
      </w:r>
      <w:r>
        <w:rPr>
          <w:rFonts w:hint="eastAsia" w:ascii="仿宋" w:hAnsi="仿宋" w:eastAsia="仿宋" w:cs="宋体"/>
          <w:sz w:val="32"/>
          <w:szCs w:val="32"/>
        </w:rPr>
        <w:t>.03</w:t>
      </w:r>
      <w:r>
        <w:rPr>
          <w:rFonts w:hint="eastAsia" w:ascii="仿宋" w:hAnsi="仿宋" w:eastAsia="仿宋" w:cs="DengXian-Regular"/>
          <w:sz w:val="32"/>
          <w:szCs w:val="32"/>
        </w:rPr>
        <w:t>万元，占82</w:t>
      </w:r>
      <w:r>
        <w:rPr>
          <w:rFonts w:hint="eastAsia" w:ascii="仿宋" w:hAnsi="仿宋" w:eastAsia="仿宋" w:cs="宋体"/>
          <w:sz w:val="32"/>
          <w:szCs w:val="32"/>
        </w:rPr>
        <w:t>.42</w:t>
      </w:r>
      <w:r>
        <w:rPr>
          <w:rFonts w:hint="eastAsia" w:ascii="仿宋" w:hAnsi="仿宋" w:eastAsia="仿宋" w:cs="DengXian-Regular"/>
          <w:sz w:val="32"/>
          <w:szCs w:val="32"/>
        </w:rPr>
        <w:t>%；经营支出0万元，占0%。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本部门2018年度财政拨款本年收入87</w:t>
      </w:r>
      <w:r>
        <w:rPr>
          <w:rFonts w:hint="eastAsia" w:ascii="仿宋" w:hAnsi="仿宋" w:eastAsia="仿宋" w:cs="宋体"/>
          <w:sz w:val="32"/>
          <w:szCs w:val="32"/>
        </w:rPr>
        <w:t>98.45</w:t>
      </w:r>
      <w:r>
        <w:rPr>
          <w:rFonts w:hint="eastAsia" w:ascii="仿宋" w:hAnsi="仿宋" w:eastAsia="仿宋" w:cs="DengXian-Regular"/>
          <w:sz w:val="32"/>
          <w:szCs w:val="32"/>
        </w:rPr>
        <w:t>万元,比2017年度减少275</w:t>
      </w:r>
      <w:r>
        <w:rPr>
          <w:rFonts w:hint="eastAsia" w:ascii="仿宋" w:hAnsi="仿宋" w:eastAsia="仿宋" w:cs="宋体"/>
          <w:sz w:val="32"/>
          <w:szCs w:val="32"/>
        </w:rPr>
        <w:t>9.44</w:t>
      </w:r>
      <w:r>
        <w:rPr>
          <w:rFonts w:hint="eastAsia" w:ascii="仿宋" w:hAnsi="仿宋" w:eastAsia="仿宋" w:cs="DengXian-Regular"/>
          <w:sz w:val="32"/>
          <w:szCs w:val="32"/>
        </w:rPr>
        <w:t>万元，降低23</w:t>
      </w:r>
      <w:r>
        <w:rPr>
          <w:rFonts w:hint="eastAsia" w:ascii="仿宋" w:hAnsi="仿宋" w:eastAsia="仿宋" w:cs="宋体"/>
          <w:sz w:val="32"/>
          <w:szCs w:val="32"/>
        </w:rPr>
        <w:t>.87</w:t>
      </w:r>
      <w:r>
        <w:rPr>
          <w:rFonts w:hint="eastAsia" w:ascii="仿宋" w:hAnsi="仿宋" w:eastAsia="仿宋" w:cs="DengXian-Regular"/>
          <w:sz w:val="32"/>
          <w:szCs w:val="32"/>
        </w:rPr>
        <w:t>%，主要是2018年专项项目资金相比2017年有所减少；本年支出10685</w:t>
      </w:r>
      <w:r>
        <w:rPr>
          <w:rFonts w:hint="eastAsia" w:ascii="仿宋" w:hAnsi="仿宋" w:eastAsia="仿宋" w:cs="宋体"/>
          <w:sz w:val="32"/>
          <w:szCs w:val="32"/>
        </w:rPr>
        <w:t>.39</w:t>
      </w:r>
      <w:r>
        <w:rPr>
          <w:rFonts w:hint="eastAsia" w:ascii="仿宋" w:hAnsi="仿宋" w:eastAsia="仿宋" w:cs="DengXian-Regular"/>
          <w:sz w:val="32"/>
          <w:szCs w:val="32"/>
        </w:rPr>
        <w:t>万元，减少12</w:t>
      </w:r>
      <w:r>
        <w:rPr>
          <w:rFonts w:hint="eastAsia" w:ascii="仿宋" w:hAnsi="仿宋" w:eastAsia="仿宋" w:cs="宋体"/>
          <w:sz w:val="32"/>
          <w:szCs w:val="32"/>
        </w:rPr>
        <w:t>96.68</w:t>
      </w:r>
      <w:r>
        <w:rPr>
          <w:rFonts w:hint="eastAsia" w:ascii="仿宋" w:hAnsi="仿宋" w:eastAsia="仿宋" w:cs="DengXian-Regular"/>
          <w:sz w:val="32"/>
          <w:szCs w:val="32"/>
        </w:rPr>
        <w:t>万元，降低10</w:t>
      </w:r>
      <w:r>
        <w:rPr>
          <w:rFonts w:hint="eastAsia" w:ascii="仿宋" w:hAnsi="仿宋" w:eastAsia="仿宋" w:cs="宋体"/>
          <w:sz w:val="32"/>
          <w:szCs w:val="32"/>
        </w:rPr>
        <w:t>.82</w:t>
      </w:r>
      <w:r>
        <w:rPr>
          <w:rFonts w:hint="eastAsia" w:ascii="仿宋" w:hAnsi="仿宋" w:eastAsia="仿宋" w:cs="DengXian-Regular"/>
          <w:sz w:val="32"/>
          <w:szCs w:val="32"/>
        </w:rPr>
        <w:t>%，主要是2018年专项项目资金相比2017年支出减少。</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其中：一般公共预算财政拨款本年收入5</w:t>
      </w:r>
      <w:r>
        <w:rPr>
          <w:rFonts w:hint="eastAsia" w:ascii="仿宋" w:hAnsi="仿宋" w:eastAsia="仿宋" w:cs="宋体"/>
          <w:sz w:val="32"/>
          <w:szCs w:val="32"/>
        </w:rPr>
        <w:t>962.67</w:t>
      </w:r>
      <w:r>
        <w:rPr>
          <w:rFonts w:hint="eastAsia" w:ascii="仿宋" w:hAnsi="仿宋" w:eastAsia="仿宋" w:cs="DengXian-Regular"/>
          <w:sz w:val="32"/>
          <w:szCs w:val="32"/>
        </w:rPr>
        <w:t>万元，比2017年度增加111</w:t>
      </w:r>
      <w:r>
        <w:rPr>
          <w:rFonts w:hint="eastAsia" w:ascii="仿宋" w:hAnsi="仿宋" w:eastAsia="仿宋" w:cs="宋体"/>
          <w:sz w:val="32"/>
          <w:szCs w:val="32"/>
        </w:rPr>
        <w:t>.56</w:t>
      </w:r>
      <w:r>
        <w:rPr>
          <w:rFonts w:hint="eastAsia" w:ascii="仿宋" w:hAnsi="仿宋" w:eastAsia="仿宋" w:cs="DengXian-Regular"/>
          <w:sz w:val="32"/>
          <w:szCs w:val="32"/>
        </w:rPr>
        <w:t>万元；主要是2018年人员和公用经费增加；本年支出6361</w:t>
      </w:r>
      <w:r>
        <w:rPr>
          <w:rFonts w:hint="eastAsia" w:ascii="仿宋" w:hAnsi="仿宋" w:eastAsia="仿宋" w:cs="宋体"/>
          <w:sz w:val="32"/>
          <w:szCs w:val="32"/>
        </w:rPr>
        <w:t>.59</w:t>
      </w:r>
      <w:r>
        <w:rPr>
          <w:rFonts w:hint="eastAsia" w:ascii="仿宋" w:hAnsi="仿宋" w:eastAsia="仿宋" w:cs="DengXian-Regular"/>
          <w:sz w:val="32"/>
          <w:szCs w:val="32"/>
        </w:rPr>
        <w:t>万元，比2017年度减少13</w:t>
      </w:r>
      <w:r>
        <w:rPr>
          <w:rFonts w:hint="eastAsia" w:ascii="仿宋" w:hAnsi="仿宋" w:eastAsia="仿宋" w:cs="宋体"/>
          <w:sz w:val="32"/>
          <w:szCs w:val="32"/>
        </w:rPr>
        <w:t>49.66</w:t>
      </w:r>
      <w:r>
        <w:rPr>
          <w:rFonts w:hint="eastAsia" w:ascii="仿宋" w:hAnsi="仿宋" w:eastAsia="仿宋" w:cs="DengXian-Regular"/>
          <w:sz w:val="32"/>
          <w:szCs w:val="32"/>
        </w:rPr>
        <w:t>万元，降低17</w:t>
      </w:r>
      <w:r>
        <w:rPr>
          <w:rFonts w:hint="eastAsia" w:ascii="仿宋" w:hAnsi="仿宋" w:eastAsia="仿宋" w:cs="宋体"/>
          <w:sz w:val="32"/>
          <w:szCs w:val="32"/>
        </w:rPr>
        <w:t>.5</w:t>
      </w:r>
      <w:r>
        <w:rPr>
          <w:rFonts w:hint="eastAsia" w:ascii="仿宋" w:hAnsi="仿宋" w:eastAsia="仿宋" w:cs="DengXian-Regular"/>
          <w:sz w:val="32"/>
          <w:szCs w:val="32"/>
        </w:rPr>
        <w:t>%，主要是2018年专项项目资金支出相比2017年有所减少。政府性基金预算财政拨款本年收入2835</w:t>
      </w:r>
      <w:r>
        <w:rPr>
          <w:rFonts w:hint="eastAsia" w:ascii="仿宋" w:hAnsi="仿宋" w:eastAsia="仿宋" w:cs="宋体"/>
          <w:sz w:val="32"/>
          <w:szCs w:val="32"/>
        </w:rPr>
        <w:t>.78</w:t>
      </w:r>
      <w:r>
        <w:rPr>
          <w:rFonts w:hint="eastAsia" w:ascii="仿宋" w:hAnsi="仿宋" w:eastAsia="仿宋" w:cs="DengXian-Regular"/>
          <w:sz w:val="32"/>
          <w:szCs w:val="32"/>
        </w:rPr>
        <w:t>万元，比2017年度减少2871</w:t>
      </w:r>
      <w:r>
        <w:rPr>
          <w:rFonts w:hint="eastAsia" w:ascii="仿宋" w:hAnsi="仿宋" w:eastAsia="仿宋" w:cs="宋体"/>
          <w:sz w:val="32"/>
          <w:szCs w:val="32"/>
        </w:rPr>
        <w:t>.01</w:t>
      </w:r>
      <w:r>
        <w:rPr>
          <w:rFonts w:hint="eastAsia" w:ascii="仿宋" w:hAnsi="仿宋" w:eastAsia="仿宋" w:cs="DengXian-Regular"/>
          <w:sz w:val="32"/>
          <w:szCs w:val="32"/>
        </w:rPr>
        <w:t>万元，降低50</w:t>
      </w:r>
      <w:r>
        <w:rPr>
          <w:rFonts w:hint="eastAsia" w:ascii="仿宋" w:hAnsi="仿宋" w:eastAsia="仿宋" w:cs="宋体"/>
          <w:sz w:val="32"/>
          <w:szCs w:val="32"/>
        </w:rPr>
        <w:t>.3</w:t>
      </w:r>
      <w:r>
        <w:rPr>
          <w:rFonts w:hint="eastAsia" w:ascii="仿宋" w:hAnsi="仿宋" w:eastAsia="仿宋" w:cs="DengXian-Regular"/>
          <w:sz w:val="32"/>
          <w:szCs w:val="32"/>
        </w:rPr>
        <w:t>%，主要是2018年政府性基金资金相比2017年有所减少；本年支出</w:t>
      </w:r>
      <w:r>
        <w:rPr>
          <w:rFonts w:hint="eastAsia" w:ascii="仿宋" w:hAnsi="仿宋" w:eastAsia="仿宋" w:cs="宋体"/>
          <w:sz w:val="32"/>
          <w:szCs w:val="32"/>
        </w:rPr>
        <w:t>4323.8</w:t>
      </w:r>
      <w:r>
        <w:rPr>
          <w:rFonts w:hint="eastAsia" w:ascii="仿宋" w:hAnsi="仿宋" w:eastAsia="仿宋" w:cs="DengXian-Regular"/>
          <w:sz w:val="32"/>
          <w:szCs w:val="32"/>
        </w:rPr>
        <w:t>万元，比2017年度增加52</w:t>
      </w:r>
      <w:r>
        <w:rPr>
          <w:rFonts w:hint="eastAsia" w:ascii="仿宋" w:hAnsi="仿宋" w:eastAsia="仿宋" w:cs="宋体"/>
          <w:sz w:val="32"/>
          <w:szCs w:val="32"/>
        </w:rPr>
        <w:t>.98</w:t>
      </w:r>
      <w:r>
        <w:rPr>
          <w:rFonts w:hint="eastAsia" w:ascii="仿宋" w:hAnsi="仿宋" w:eastAsia="仿宋" w:cs="DengXian-Regular"/>
          <w:sz w:val="32"/>
          <w:szCs w:val="32"/>
        </w:rPr>
        <w:t>万元，增长1</w:t>
      </w:r>
      <w:r>
        <w:rPr>
          <w:rFonts w:hint="eastAsia" w:ascii="仿宋" w:hAnsi="仿宋" w:eastAsia="仿宋" w:cs="宋体"/>
          <w:sz w:val="32"/>
          <w:szCs w:val="32"/>
        </w:rPr>
        <w:t>.24</w:t>
      </w:r>
      <w:r>
        <w:rPr>
          <w:rFonts w:hint="eastAsia" w:ascii="仿宋" w:hAnsi="仿宋" w:eastAsia="仿宋" w:cs="DengXian-Regular"/>
          <w:sz w:val="32"/>
          <w:szCs w:val="32"/>
        </w:rPr>
        <w:t>%，主要是支出2017年结转的政府性基金资金。</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本部门2018年度财政拨款本年收入87</w:t>
      </w:r>
      <w:r>
        <w:rPr>
          <w:rFonts w:hint="eastAsia" w:ascii="仿宋" w:hAnsi="仿宋" w:eastAsia="仿宋" w:cs="宋体"/>
          <w:sz w:val="32"/>
          <w:szCs w:val="32"/>
        </w:rPr>
        <w:t>98.45</w:t>
      </w:r>
      <w:r>
        <w:rPr>
          <w:rFonts w:hint="eastAsia" w:ascii="仿宋" w:hAnsi="仿宋" w:eastAsia="仿宋" w:cs="DengXian-Regular"/>
          <w:sz w:val="32"/>
          <w:szCs w:val="32"/>
        </w:rPr>
        <w:t>万元，完成年初预算的265</w:t>
      </w:r>
      <w:r>
        <w:rPr>
          <w:rFonts w:hint="eastAsia" w:ascii="仿宋" w:hAnsi="仿宋" w:eastAsia="仿宋" w:cs="宋体"/>
          <w:sz w:val="32"/>
          <w:szCs w:val="32"/>
        </w:rPr>
        <w:t>.31</w:t>
      </w:r>
      <w:r>
        <w:rPr>
          <w:rFonts w:hint="eastAsia" w:ascii="仿宋" w:hAnsi="仿宋" w:eastAsia="仿宋" w:cs="DengXian-Regular"/>
          <w:sz w:val="32"/>
          <w:szCs w:val="32"/>
        </w:rPr>
        <w:t>%,比年初预算增加</w:t>
      </w:r>
      <w:r>
        <w:rPr>
          <w:rFonts w:hint="eastAsia" w:ascii="仿宋" w:hAnsi="仿宋" w:eastAsia="仿宋" w:cs="宋体"/>
          <w:sz w:val="32"/>
          <w:szCs w:val="32"/>
        </w:rPr>
        <w:t>5482.17</w:t>
      </w:r>
      <w:r>
        <w:rPr>
          <w:rFonts w:hint="eastAsia" w:ascii="仿宋" w:hAnsi="仿宋" w:eastAsia="仿宋" w:cs="DengXian-Regular"/>
          <w:sz w:val="32"/>
          <w:szCs w:val="32"/>
        </w:rPr>
        <w:t>万元，决算数大于预算数主要是2018年专项项目追加预算增加；本年支出10685</w:t>
      </w:r>
      <w:r>
        <w:rPr>
          <w:rFonts w:hint="eastAsia" w:ascii="仿宋" w:hAnsi="仿宋" w:eastAsia="仿宋" w:cs="宋体"/>
          <w:sz w:val="32"/>
          <w:szCs w:val="32"/>
        </w:rPr>
        <w:t>.39</w:t>
      </w:r>
      <w:r>
        <w:rPr>
          <w:rFonts w:hint="eastAsia" w:ascii="仿宋" w:hAnsi="仿宋" w:eastAsia="仿宋" w:cs="DengXian-Regular"/>
          <w:sz w:val="32"/>
          <w:szCs w:val="32"/>
        </w:rPr>
        <w:t>万元，完成年初预算的322</w:t>
      </w:r>
      <w:r>
        <w:rPr>
          <w:rFonts w:hint="eastAsia" w:ascii="仿宋" w:hAnsi="仿宋" w:eastAsia="仿宋" w:cs="宋体"/>
          <w:sz w:val="32"/>
          <w:szCs w:val="32"/>
        </w:rPr>
        <w:t>.2</w:t>
      </w:r>
      <w:r>
        <w:rPr>
          <w:rFonts w:hint="eastAsia" w:ascii="仿宋" w:hAnsi="仿宋" w:eastAsia="仿宋" w:cs="DengXian-Regular"/>
          <w:sz w:val="32"/>
          <w:szCs w:val="32"/>
        </w:rPr>
        <w:t>%,比年初预算增加736</w:t>
      </w:r>
      <w:r>
        <w:rPr>
          <w:rFonts w:hint="eastAsia" w:ascii="仿宋" w:hAnsi="仿宋" w:eastAsia="仿宋" w:cs="宋体"/>
          <w:sz w:val="32"/>
          <w:szCs w:val="32"/>
        </w:rPr>
        <w:t>9.11</w:t>
      </w:r>
      <w:r>
        <w:rPr>
          <w:rFonts w:hint="eastAsia" w:ascii="仿宋" w:hAnsi="仿宋" w:eastAsia="仿宋" w:cs="DengXian-Regular"/>
          <w:sz w:val="32"/>
          <w:szCs w:val="32"/>
        </w:rPr>
        <w:t>万元，决算数大于预算数主要是2018年专项项目支出追加预算增加。</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其中，一般公共预算财政拨款本年收入完成年初预算17</w:t>
      </w:r>
      <w:r>
        <w:rPr>
          <w:rFonts w:hint="eastAsia" w:ascii="仿宋" w:hAnsi="仿宋" w:eastAsia="仿宋" w:cs="宋体"/>
          <w:sz w:val="32"/>
          <w:szCs w:val="32"/>
        </w:rPr>
        <w:t>9.79</w:t>
      </w:r>
      <w:r>
        <w:rPr>
          <w:rFonts w:hint="eastAsia" w:ascii="仿宋" w:hAnsi="仿宋" w:eastAsia="仿宋" w:cs="DengXian-Regular"/>
          <w:sz w:val="32"/>
          <w:szCs w:val="32"/>
        </w:rPr>
        <w:t>%，比年初预算增加26</w:t>
      </w:r>
      <w:r>
        <w:rPr>
          <w:rFonts w:hint="eastAsia" w:ascii="仿宋" w:hAnsi="仿宋" w:eastAsia="仿宋" w:cs="宋体"/>
          <w:sz w:val="32"/>
          <w:szCs w:val="32"/>
        </w:rPr>
        <w:t>46.39</w:t>
      </w:r>
      <w:r>
        <w:rPr>
          <w:rFonts w:hint="eastAsia" w:ascii="仿宋" w:hAnsi="仿宋" w:eastAsia="仿宋" w:cs="DengXian-Regular"/>
          <w:sz w:val="32"/>
          <w:szCs w:val="32"/>
        </w:rPr>
        <w:t>万元，决算数大于预算数主要是2018年专项项目追加预算增加；支出完成年初预算1</w:t>
      </w:r>
      <w:r>
        <w:rPr>
          <w:rFonts w:hint="eastAsia" w:ascii="仿宋" w:hAnsi="仿宋" w:eastAsia="仿宋" w:cs="宋体"/>
          <w:sz w:val="32"/>
          <w:szCs w:val="32"/>
        </w:rPr>
        <w:t>91.82</w:t>
      </w:r>
      <w:r>
        <w:rPr>
          <w:rFonts w:hint="eastAsia" w:ascii="仿宋" w:hAnsi="仿宋" w:eastAsia="仿宋" w:cs="DengXian-Regular"/>
          <w:sz w:val="32"/>
          <w:szCs w:val="32"/>
        </w:rPr>
        <w:t>%，比年初预算增加30</w:t>
      </w:r>
      <w:r>
        <w:rPr>
          <w:rFonts w:hint="eastAsia" w:ascii="仿宋" w:hAnsi="仿宋" w:eastAsia="仿宋" w:cs="宋体"/>
          <w:sz w:val="32"/>
          <w:szCs w:val="32"/>
        </w:rPr>
        <w:t>45.31</w:t>
      </w:r>
      <w:r>
        <w:rPr>
          <w:rFonts w:hint="eastAsia" w:ascii="仿宋" w:hAnsi="仿宋" w:eastAsia="仿宋" w:cs="DengXian-Regular"/>
          <w:sz w:val="32"/>
          <w:szCs w:val="32"/>
        </w:rPr>
        <w:t>万元，决算数大于预算数主要是2018年专项项目追加预算增加。。政府性基金预算财政拨款本年收入完成年初预算2835</w:t>
      </w:r>
      <w:r>
        <w:rPr>
          <w:rFonts w:hint="eastAsia" w:ascii="仿宋" w:hAnsi="仿宋" w:eastAsia="仿宋" w:cs="宋体"/>
          <w:sz w:val="32"/>
          <w:szCs w:val="32"/>
        </w:rPr>
        <w:t>.78</w:t>
      </w:r>
      <w:r>
        <w:rPr>
          <w:rFonts w:hint="eastAsia" w:ascii="仿宋" w:hAnsi="仿宋" w:eastAsia="仿宋" w:cs="DengXian-Regular"/>
          <w:sz w:val="32"/>
          <w:szCs w:val="32"/>
        </w:rPr>
        <w:t>%，比年初预算增加2835</w:t>
      </w:r>
      <w:r>
        <w:rPr>
          <w:rFonts w:hint="eastAsia" w:ascii="仿宋" w:hAnsi="仿宋" w:eastAsia="仿宋" w:cs="宋体"/>
          <w:sz w:val="32"/>
          <w:szCs w:val="32"/>
        </w:rPr>
        <w:t>.78</w:t>
      </w:r>
      <w:r>
        <w:rPr>
          <w:rFonts w:hint="eastAsia" w:ascii="仿宋" w:hAnsi="仿宋" w:eastAsia="仿宋" w:cs="DengXian-Regular"/>
          <w:sz w:val="32"/>
          <w:szCs w:val="32"/>
        </w:rPr>
        <w:t>万元，决算数大于预算数主要是2018年专项项目追加预算增加；支出完成年初预算</w:t>
      </w:r>
      <w:r>
        <w:rPr>
          <w:rFonts w:hint="eastAsia" w:ascii="仿宋" w:hAnsi="仿宋" w:eastAsia="仿宋" w:cs="宋体"/>
          <w:sz w:val="32"/>
          <w:szCs w:val="32"/>
        </w:rPr>
        <w:t>4323.8</w:t>
      </w:r>
      <w:r>
        <w:rPr>
          <w:rFonts w:hint="eastAsia" w:ascii="仿宋" w:hAnsi="仿宋" w:eastAsia="仿宋" w:cs="DengXian-Regular"/>
          <w:sz w:val="32"/>
          <w:szCs w:val="32"/>
        </w:rPr>
        <w:t>%，比年初预算增加</w:t>
      </w:r>
      <w:r>
        <w:rPr>
          <w:rFonts w:hint="eastAsia" w:ascii="仿宋" w:hAnsi="仿宋" w:eastAsia="仿宋" w:cs="宋体"/>
          <w:sz w:val="32"/>
          <w:szCs w:val="32"/>
        </w:rPr>
        <w:t>4323.8</w:t>
      </w:r>
      <w:r>
        <w:rPr>
          <w:rFonts w:hint="eastAsia" w:ascii="仿宋" w:hAnsi="仿宋" w:eastAsia="仿宋" w:cs="DengXian-Regular"/>
          <w:sz w:val="32"/>
          <w:szCs w:val="32"/>
        </w:rPr>
        <w:t>万元，决算数大于预算数主要是2018年专项项目追加预算增加。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 w:hAnsi="仿宋" w:eastAsia="仿宋" w:cs="宋体"/>
          <w:sz w:val="32"/>
          <w:szCs w:val="32"/>
        </w:rPr>
      </w:pPr>
      <w:r>
        <w:rPr>
          <w:rFonts w:hint="eastAsia" w:ascii="仿宋" w:hAnsi="仿宋" w:eastAsia="仿宋" w:cs="DengXian-Regular"/>
          <w:sz w:val="32"/>
          <w:szCs w:val="32"/>
        </w:rPr>
        <w:t>2018 年度财政拨款支出10685</w:t>
      </w:r>
      <w:r>
        <w:rPr>
          <w:rFonts w:hint="eastAsia" w:ascii="仿宋" w:hAnsi="仿宋" w:eastAsia="仿宋" w:cs="宋体"/>
          <w:sz w:val="32"/>
          <w:szCs w:val="32"/>
        </w:rPr>
        <w:t>.39</w:t>
      </w:r>
      <w:r>
        <w:rPr>
          <w:rFonts w:hint="eastAsia" w:ascii="仿宋" w:hAnsi="仿宋" w:eastAsia="仿宋" w:cs="DengXian-Regular"/>
          <w:sz w:val="32"/>
          <w:szCs w:val="32"/>
        </w:rPr>
        <w:t>万元，主要用于以下方面：一般公共服务支出10万元，占0.09%；社会保障和就业支出152.97万元 ，占1.43  %；城</w:t>
      </w:r>
      <w:r>
        <w:rPr>
          <w:rFonts w:hint="eastAsia" w:ascii="仿宋" w:hAnsi="仿宋" w:eastAsia="仿宋" w:cs="宋体"/>
          <w:sz w:val="32"/>
          <w:szCs w:val="32"/>
        </w:rPr>
        <w:t>乡</w:t>
      </w:r>
      <w:r>
        <w:rPr>
          <w:rFonts w:hint="eastAsia" w:ascii="仿宋" w:hAnsi="仿宋" w:eastAsia="仿宋" w:cs="DengXian-Regular"/>
          <w:sz w:val="32"/>
          <w:szCs w:val="32"/>
        </w:rPr>
        <w:t>社区支出2817</w:t>
      </w:r>
      <w:r>
        <w:rPr>
          <w:rFonts w:hint="eastAsia" w:ascii="仿宋" w:hAnsi="仿宋" w:eastAsia="仿宋" w:cs="宋体"/>
          <w:sz w:val="32"/>
          <w:szCs w:val="32"/>
        </w:rPr>
        <w:t>.89万元，占26.37%农林水支出6198.62</w:t>
      </w:r>
      <w:r>
        <w:rPr>
          <w:rFonts w:hint="eastAsia" w:ascii="仿宋" w:hAnsi="仿宋" w:eastAsia="仿宋" w:cs="DengXian-Regular"/>
          <w:sz w:val="32"/>
          <w:szCs w:val="32"/>
        </w:rPr>
        <w:t>万元，占58.01%；其他支出1505</w:t>
      </w:r>
      <w:r>
        <w:rPr>
          <w:rFonts w:hint="eastAsia" w:ascii="仿宋" w:hAnsi="仿宋" w:eastAsia="仿宋" w:cs="宋体"/>
          <w:sz w:val="32"/>
          <w:szCs w:val="32"/>
        </w:rPr>
        <w:t>.91万元，占14.09%。</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2018 年度一般公共预算财政拨款基本支出1878</w:t>
      </w:r>
      <w:r>
        <w:rPr>
          <w:rFonts w:hint="eastAsia" w:ascii="仿宋" w:hAnsi="仿宋" w:eastAsia="仿宋" w:cs="宋体"/>
          <w:sz w:val="32"/>
          <w:szCs w:val="32"/>
        </w:rPr>
        <w:t>.36</w:t>
      </w:r>
      <w:r>
        <w:rPr>
          <w:rFonts w:hint="eastAsia" w:ascii="仿宋" w:hAnsi="仿宋" w:eastAsia="仿宋" w:cs="DengXian-Regular"/>
          <w:sz w:val="32"/>
          <w:szCs w:val="32"/>
        </w:rPr>
        <w:t>万元，其中：人员经费 1710</w:t>
      </w:r>
      <w:r>
        <w:rPr>
          <w:rFonts w:hint="eastAsia" w:ascii="仿宋" w:hAnsi="仿宋" w:eastAsia="仿宋" w:cs="宋体"/>
          <w:sz w:val="32"/>
          <w:szCs w:val="32"/>
        </w:rPr>
        <w:t>.11</w:t>
      </w:r>
      <w:r>
        <w:rPr>
          <w:rFonts w:hint="eastAsia" w:ascii="仿宋" w:hAnsi="仿宋" w:eastAsia="仿宋"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168</w:t>
      </w:r>
      <w:r>
        <w:rPr>
          <w:rFonts w:hint="eastAsia" w:ascii="仿宋" w:hAnsi="仿宋" w:eastAsia="仿宋" w:cs="宋体"/>
          <w:sz w:val="32"/>
          <w:szCs w:val="32"/>
        </w:rPr>
        <w:t>.25</w:t>
      </w:r>
      <w:r>
        <w:rPr>
          <w:rFonts w:hint="eastAsia" w:ascii="仿宋" w:hAnsi="仿宋" w:eastAsia="仿宋"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hint="default" w:ascii="黑体" w:eastAsia="黑体"/>
          <w:b w:val="0"/>
          <w:bCs w:val="0"/>
          <w:lang w:val="en-US" w:eastAsia="zh-CN"/>
        </w:rPr>
        <w:t>”</w:t>
      </w:r>
      <w:r>
        <w:rPr>
          <w:rFonts w:hint="eastAsia" w:ascii="黑体" w:eastAsia="黑体"/>
          <w:b w:val="0"/>
          <w:bCs w:val="0"/>
        </w:rPr>
        <w:t>经费支出决算情况说明</w:t>
      </w:r>
    </w:p>
    <w:p>
      <w:pPr>
        <w:adjustRightInd w:val="0"/>
        <w:snapToGrid w:val="0"/>
        <w:spacing w:line="584" w:lineRule="exact"/>
        <w:ind w:firstLine="640" w:firstLineChars="200"/>
        <w:rPr>
          <w:rFonts w:ascii="仿宋" w:hAnsi="仿宋" w:eastAsia="仿宋"/>
          <w:sz w:val="32"/>
          <w:szCs w:val="32"/>
          <w:highlight w:val="yellow"/>
        </w:rPr>
      </w:pP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年度一般公共预算财政拨款“三公”经费支出共计</w:t>
      </w:r>
      <w:r>
        <w:rPr>
          <w:rFonts w:hint="eastAsia" w:ascii="仿宋" w:hAnsi="仿宋" w:eastAsia="仿宋"/>
          <w:sz w:val="32"/>
          <w:szCs w:val="32"/>
        </w:rPr>
        <w:t>7.41</w:t>
      </w:r>
      <w:r>
        <w:rPr>
          <w:rFonts w:ascii="仿宋" w:hAnsi="仿宋" w:eastAsia="仿宋"/>
          <w:sz w:val="32"/>
          <w:szCs w:val="32"/>
        </w:rPr>
        <w:t>万元，</w:t>
      </w:r>
      <w:r>
        <w:rPr>
          <w:rFonts w:hint="eastAsia" w:ascii="仿宋" w:hAnsi="仿宋" w:eastAsia="仿宋"/>
          <w:sz w:val="32"/>
          <w:szCs w:val="32"/>
        </w:rPr>
        <w:t>比</w:t>
      </w:r>
      <w:r>
        <w:rPr>
          <w:rFonts w:ascii="仿宋" w:hAnsi="仿宋" w:eastAsia="仿宋"/>
          <w:sz w:val="32"/>
          <w:szCs w:val="32"/>
        </w:rPr>
        <w:t>年初预算减少</w:t>
      </w:r>
      <w:r>
        <w:rPr>
          <w:rFonts w:hint="eastAsia" w:ascii="仿宋" w:hAnsi="仿宋" w:eastAsia="仿宋"/>
          <w:sz w:val="32"/>
          <w:szCs w:val="32"/>
        </w:rPr>
        <w:t>1.39</w:t>
      </w:r>
      <w:r>
        <w:rPr>
          <w:rFonts w:ascii="仿宋" w:hAnsi="仿宋" w:eastAsia="仿宋"/>
          <w:sz w:val="32"/>
          <w:szCs w:val="32"/>
        </w:rPr>
        <w:t>万元，降低</w:t>
      </w:r>
      <w:r>
        <w:rPr>
          <w:rFonts w:hint="eastAsia" w:ascii="仿宋" w:hAnsi="仿宋" w:eastAsia="仿宋"/>
          <w:sz w:val="32"/>
          <w:szCs w:val="32"/>
        </w:rPr>
        <w:t>15.79</w:t>
      </w:r>
      <w:r>
        <w:rPr>
          <w:rFonts w:ascii="仿宋" w:hAnsi="仿宋" w:eastAsia="仿宋"/>
          <w:sz w:val="32"/>
          <w:szCs w:val="32"/>
        </w:rPr>
        <w:t>%，主要是</w:t>
      </w:r>
      <w:r>
        <w:rPr>
          <w:rFonts w:hint="eastAsia" w:ascii="仿宋" w:hAnsi="仿宋" w:eastAsia="仿宋"/>
          <w:sz w:val="32"/>
          <w:szCs w:val="32"/>
        </w:rPr>
        <w:t>严格按照预算，控制三公经费支出</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年度决算减少</w:t>
      </w:r>
      <w:r>
        <w:rPr>
          <w:rFonts w:hint="eastAsia" w:ascii="仿宋" w:hAnsi="仿宋" w:eastAsia="仿宋"/>
          <w:sz w:val="32"/>
          <w:szCs w:val="32"/>
        </w:rPr>
        <w:t>4.04</w:t>
      </w:r>
      <w:r>
        <w:rPr>
          <w:rFonts w:ascii="仿宋" w:hAnsi="仿宋" w:eastAsia="仿宋"/>
          <w:sz w:val="32"/>
          <w:szCs w:val="32"/>
        </w:rPr>
        <w:t>万元，降低</w:t>
      </w:r>
      <w:r>
        <w:rPr>
          <w:rFonts w:hint="eastAsia" w:ascii="仿宋" w:hAnsi="仿宋" w:eastAsia="仿宋"/>
          <w:sz w:val="32"/>
          <w:szCs w:val="32"/>
        </w:rPr>
        <w:t>35.28</w:t>
      </w:r>
      <w:r>
        <w:rPr>
          <w:rFonts w:ascii="仿宋" w:hAnsi="仿宋" w:eastAsia="仿宋"/>
          <w:sz w:val="32"/>
          <w:szCs w:val="32"/>
        </w:rPr>
        <w:t>%，主要是</w:t>
      </w:r>
      <w:r>
        <w:rPr>
          <w:rFonts w:hint="eastAsia" w:ascii="仿宋" w:hAnsi="仿宋" w:eastAsia="仿宋"/>
          <w:sz w:val="32"/>
          <w:szCs w:val="32"/>
        </w:rPr>
        <w:t>严格按照预算，控制三公经费</w:t>
      </w:r>
      <w:r>
        <w:rPr>
          <w:rFonts w:hint="eastAsia" w:ascii="仿宋" w:hAnsi="仿宋" w:eastAsia="仿宋"/>
          <w:sz w:val="32"/>
          <w:szCs w:val="32"/>
          <w:lang w:eastAsia="zh-CN"/>
        </w:rPr>
        <w:t>不必要的</w:t>
      </w:r>
      <w:r>
        <w:rPr>
          <w:rFonts w:hint="eastAsia" w:ascii="仿宋" w:hAnsi="仿宋" w:eastAsia="仿宋"/>
          <w:sz w:val="32"/>
          <w:szCs w:val="32"/>
        </w:rPr>
        <w:t>支出</w:t>
      </w:r>
      <w:r>
        <w:rPr>
          <w:rFonts w:ascii="仿宋" w:hAnsi="仿宋" w:eastAsia="仿宋"/>
          <w:sz w:val="32"/>
          <w:szCs w:val="32"/>
        </w:rPr>
        <w:t>。具体情况如下：</w:t>
      </w:r>
    </w:p>
    <w:p>
      <w:pPr>
        <w:pStyle w:val="32"/>
        <w:numPr>
          <w:ilvl w:val="0"/>
          <w:numId w:val="2"/>
        </w:numPr>
        <w:adjustRightInd w:val="0"/>
        <w:snapToGrid w:val="0"/>
        <w:spacing w:line="584" w:lineRule="exact"/>
        <w:ind w:firstLineChars="0"/>
        <w:rPr>
          <w:rFonts w:eastAsia="楷体_GB2312"/>
          <w:b/>
          <w:bCs/>
          <w:sz w:val="32"/>
          <w:szCs w:val="32"/>
        </w:rPr>
      </w:pPr>
      <w:r>
        <w:rPr>
          <w:rFonts w:eastAsia="楷体_GB2312"/>
          <w:b/>
          <w:bCs/>
          <w:sz w:val="32"/>
          <w:szCs w:val="32"/>
        </w:rPr>
        <w:t>因公出国（境）费支出</w:t>
      </w:r>
      <w:r>
        <w:rPr>
          <w:rFonts w:hint="eastAsia" w:eastAsia="楷体_GB2312"/>
          <w:b/>
          <w:bCs/>
          <w:sz w:val="32"/>
          <w:szCs w:val="32"/>
        </w:rPr>
        <w:t>0</w:t>
      </w:r>
      <w:r>
        <w:rPr>
          <w:rFonts w:eastAsia="楷体_GB2312"/>
          <w:b/>
          <w:bCs/>
          <w:sz w:val="32"/>
          <w:szCs w:val="32"/>
        </w:rPr>
        <w:t>万元。</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ascii="仿宋_GB2312" w:eastAsia="仿宋_GB2312" w:cs="DengXian-Regular"/>
          <w:sz w:val="32"/>
          <w:szCs w:val="32"/>
          <w:lang w:eastAsia="zh-CN"/>
        </w:rPr>
        <w:t>严格控制因公出国（境）支出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ascii="仿宋_GB2312" w:eastAsia="仿宋_GB2312" w:cs="DengXian-Regular"/>
          <w:sz w:val="32"/>
          <w:szCs w:val="32"/>
          <w:lang w:eastAsia="zh-CN"/>
        </w:rPr>
        <w:t>严格控制因公出国（境）支出</w:t>
      </w:r>
      <w:r>
        <w:rPr>
          <w:rFonts w:eastAsia="仿宋_GB2312"/>
          <w:sz w:val="32"/>
          <w:szCs w:val="32"/>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（二）公务用车购置及运行维护费支出</w:t>
      </w:r>
      <w:r>
        <w:rPr>
          <w:rFonts w:hint="eastAsia" w:eastAsia="楷体_GB2312"/>
          <w:b/>
          <w:bCs/>
          <w:sz w:val="32"/>
          <w:szCs w:val="32"/>
        </w:rPr>
        <w:t>7.2</w:t>
      </w:r>
      <w:r>
        <w:rPr>
          <w:rFonts w:eastAsia="楷体_GB2312"/>
          <w:b/>
          <w:bCs/>
          <w:sz w:val="32"/>
          <w:szCs w:val="32"/>
        </w:rPr>
        <w:t>万元。</w:t>
      </w:r>
    </w:p>
    <w:p>
      <w:pPr>
        <w:adjustRightInd w:val="0"/>
        <w:snapToGrid w:val="0"/>
        <w:spacing w:line="584" w:lineRule="exact"/>
        <w:ind w:firstLine="640" w:firstLineChars="200"/>
        <w:rPr>
          <w:rFonts w:eastAsia="仿宋_GB2312"/>
          <w:b/>
          <w:bCs/>
          <w:sz w:val="32"/>
          <w:szCs w:val="32"/>
        </w:rPr>
      </w:pPr>
      <w:r>
        <w:rPr>
          <w:rFonts w:hint="eastAsia" w:eastAsia="仿宋_GB2312"/>
          <w:sz w:val="32"/>
          <w:szCs w:val="32"/>
        </w:rPr>
        <w:t>本部门2018年度公务用车购置及运行维护费比年初预算</w:t>
      </w:r>
      <w:r>
        <w:rPr>
          <w:rFonts w:eastAsia="仿宋_GB2312"/>
          <w:sz w:val="32"/>
          <w:szCs w:val="32"/>
        </w:rPr>
        <w:t>减少</w:t>
      </w:r>
      <w:r>
        <w:rPr>
          <w:rFonts w:hint="eastAsia" w:eastAsia="仿宋_GB2312"/>
          <w:sz w:val="32"/>
          <w:szCs w:val="32"/>
        </w:rPr>
        <w:t>0.8</w:t>
      </w:r>
      <w:r>
        <w:rPr>
          <w:rFonts w:eastAsia="仿宋_GB2312"/>
          <w:sz w:val="32"/>
          <w:szCs w:val="32"/>
        </w:rPr>
        <w:t>万元</w:t>
      </w:r>
      <w:r>
        <w:rPr>
          <w:rFonts w:hint="eastAsia" w:eastAsia="仿宋_GB2312"/>
          <w:sz w:val="32"/>
          <w:szCs w:val="32"/>
        </w:rPr>
        <w:t>，</w:t>
      </w:r>
      <w:r>
        <w:rPr>
          <w:rFonts w:eastAsia="仿宋_GB2312"/>
          <w:sz w:val="32"/>
          <w:szCs w:val="32"/>
        </w:rPr>
        <w:t>降低</w:t>
      </w:r>
      <w:r>
        <w:rPr>
          <w:rFonts w:hint="eastAsia" w:eastAsia="仿宋_GB2312"/>
          <w:sz w:val="32"/>
          <w:szCs w:val="32"/>
        </w:rPr>
        <w:t>10</w:t>
      </w:r>
      <w:r>
        <w:rPr>
          <w:rFonts w:eastAsia="仿宋_GB2312"/>
          <w:sz w:val="32"/>
          <w:szCs w:val="32"/>
        </w:rPr>
        <w:t>%</w:t>
      </w:r>
      <w:r>
        <w:rPr>
          <w:rFonts w:hint="eastAsia" w:eastAsia="仿宋_GB2312"/>
          <w:sz w:val="32"/>
          <w:szCs w:val="32"/>
        </w:rPr>
        <w:t>,主要是公车改革及相关工作的开展，相关支出减少；比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4.08</w:t>
      </w:r>
      <w:r>
        <w:rPr>
          <w:rFonts w:eastAsia="仿宋_GB2312"/>
          <w:sz w:val="32"/>
          <w:szCs w:val="32"/>
        </w:rPr>
        <w:t>万元，降低</w:t>
      </w:r>
      <w:r>
        <w:rPr>
          <w:rFonts w:hint="eastAsia" w:eastAsia="仿宋_GB2312"/>
          <w:sz w:val="32"/>
          <w:szCs w:val="32"/>
        </w:rPr>
        <w:t>36</w:t>
      </w:r>
      <w:r>
        <w:rPr>
          <w:rFonts w:eastAsia="仿宋_GB2312"/>
          <w:sz w:val="32"/>
          <w:szCs w:val="32"/>
        </w:rPr>
        <w:t>%，主要是</w:t>
      </w:r>
      <w:r>
        <w:rPr>
          <w:rFonts w:hint="eastAsia" w:eastAsia="仿宋_GB2312"/>
          <w:sz w:val="32"/>
          <w:szCs w:val="32"/>
        </w:rPr>
        <w:t>公车改革及相关工作的开展，相关支出有所减少</w:t>
      </w:r>
      <w:r>
        <w:rPr>
          <w:rFonts w:eastAsia="仿宋_GB2312"/>
          <w:sz w:val="32"/>
          <w:szCs w:val="32"/>
        </w:rPr>
        <w:t>。其中</w:t>
      </w:r>
      <w:r>
        <w:rPr>
          <w:rFonts w:eastAsia="仿宋_GB2312"/>
          <w:b/>
          <w:bCs/>
          <w:sz w:val="32"/>
          <w:szCs w:val="32"/>
        </w:rPr>
        <w:t>：</w:t>
      </w:r>
    </w:p>
    <w:p>
      <w:pPr>
        <w:adjustRightInd w:val="0"/>
        <w:snapToGrid w:val="0"/>
        <w:spacing w:line="584" w:lineRule="exact"/>
        <w:ind w:firstLine="643" w:firstLineChars="200"/>
        <w:rPr>
          <w:rFonts w:hint="eastAsia" w:eastAsia="仿宋_GB2312"/>
          <w:sz w:val="32"/>
          <w:szCs w:val="32"/>
          <w:lang w:val="en-US" w:eastAsia="zh-CN"/>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未发生公务用车购置费</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未发生公务用车购置费。</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7.2</w:t>
      </w:r>
      <w:r>
        <w:rPr>
          <w:rFonts w:eastAsia="仿宋_GB2312"/>
          <w:b/>
          <w:sz w:val="32"/>
          <w:szCs w:val="32"/>
        </w:rPr>
        <w:t>万元。</w:t>
      </w:r>
      <w:r>
        <w:rPr>
          <w:rFonts w:ascii="仿宋_GB2312" w:eastAsia="仿宋_GB2312" w:cs="DengXian-Regular"/>
          <w:sz w:val="32"/>
          <w:szCs w:val="32"/>
        </w:rPr>
        <w:t>本部门201</w:t>
      </w:r>
      <w:r>
        <w:rPr>
          <w:rFonts w:hint="eastAsia" w:ascii="仿宋_GB2312" w:eastAsia="仿宋_GB2312" w:cs="DengXian-Regular"/>
          <w:sz w:val="32"/>
          <w:szCs w:val="32"/>
        </w:rPr>
        <w:t>8</w:t>
      </w:r>
      <w:r>
        <w:rPr>
          <w:rFonts w:ascii="仿宋_GB2312" w:eastAsia="仿宋_GB2312" w:cs="DengXian-Regular"/>
          <w:sz w:val="32"/>
          <w:szCs w:val="32"/>
        </w:rPr>
        <w:t>年末单位公务用车保有量</w:t>
      </w:r>
      <w:r>
        <w:rPr>
          <w:rFonts w:hint="eastAsia" w:ascii="仿宋_GB2312" w:eastAsia="仿宋_GB2312" w:cs="DengXian-Regular"/>
          <w:sz w:val="32"/>
          <w:szCs w:val="32"/>
        </w:rPr>
        <w:t>3</w:t>
      </w:r>
      <w:r>
        <w:rPr>
          <w:rFonts w:ascii="仿宋_GB2312" w:eastAsia="仿宋_GB2312" w:cs="DengXian-Regular"/>
          <w:sz w:val="32"/>
          <w:szCs w:val="32"/>
        </w:rPr>
        <w:t>辆。公车运行维护费支出</w:t>
      </w:r>
      <w:r>
        <w:rPr>
          <w:rFonts w:hint="eastAsia" w:ascii="仿宋_GB2312" w:eastAsia="仿宋_GB2312" w:cs="DengXian-Regular"/>
          <w:sz w:val="32"/>
          <w:szCs w:val="32"/>
        </w:rPr>
        <w:t>比</w:t>
      </w:r>
      <w:r>
        <w:rPr>
          <w:rFonts w:ascii="仿宋_GB2312" w:eastAsia="仿宋_GB2312" w:cs="DengXian-Regular"/>
          <w:sz w:val="32"/>
          <w:szCs w:val="32"/>
        </w:rPr>
        <w:t>年初预算减少</w:t>
      </w:r>
      <w:r>
        <w:rPr>
          <w:rFonts w:hint="eastAsia" w:ascii="仿宋_GB2312" w:eastAsia="仿宋_GB2312" w:cs="DengXian-Regular"/>
          <w:sz w:val="32"/>
          <w:szCs w:val="32"/>
        </w:rPr>
        <w:t>0</w:t>
      </w:r>
      <w:r>
        <w:rPr>
          <w:rFonts w:hint="eastAsia" w:ascii="宋体" w:hAnsi="宋体" w:cs="宋体"/>
          <w:sz w:val="32"/>
          <w:szCs w:val="32"/>
        </w:rPr>
        <w:t>.8</w:t>
      </w:r>
      <w:r>
        <w:rPr>
          <w:rFonts w:ascii="仿宋_GB2312" w:eastAsia="仿宋_GB2312" w:cs="DengXian-Regular"/>
          <w:sz w:val="32"/>
          <w:szCs w:val="32"/>
        </w:rPr>
        <w:t>万元，降低</w:t>
      </w:r>
      <w:r>
        <w:rPr>
          <w:rFonts w:hint="eastAsia" w:ascii="仿宋_GB2312" w:eastAsia="仿宋_GB2312" w:cs="DengXian-Regular"/>
          <w:sz w:val="32"/>
          <w:szCs w:val="32"/>
        </w:rPr>
        <w:t>10</w:t>
      </w:r>
      <w:r>
        <w:rPr>
          <w:rFonts w:ascii="仿宋_GB2312" w:eastAsia="仿宋_GB2312" w:cs="DengXian-Regular"/>
          <w:sz w:val="32"/>
          <w:szCs w:val="32"/>
        </w:rPr>
        <w:t>%，主要是</w:t>
      </w:r>
      <w:r>
        <w:rPr>
          <w:rFonts w:hint="eastAsia" w:ascii="仿宋_GB2312" w:eastAsia="仿宋_GB2312" w:cs="DengXian-Regular"/>
          <w:sz w:val="32"/>
          <w:szCs w:val="32"/>
        </w:rPr>
        <w:t>公车改革及相关工作的开展，相关支出</w:t>
      </w:r>
      <w:r>
        <w:rPr>
          <w:rFonts w:hint="eastAsia" w:ascii="仿宋_GB2312" w:eastAsia="仿宋_GB2312" w:cs="DengXian-Regular"/>
          <w:sz w:val="32"/>
          <w:szCs w:val="32"/>
          <w:lang w:eastAsia="zh-CN"/>
        </w:rPr>
        <w:t>逐渐</w:t>
      </w:r>
      <w:bookmarkStart w:id="0" w:name="_GoBack"/>
      <w:bookmarkEnd w:id="0"/>
      <w:r>
        <w:rPr>
          <w:rFonts w:hint="eastAsia" w:ascii="仿宋_GB2312" w:eastAsia="仿宋_GB2312" w:cs="DengXian-Regular"/>
          <w:sz w:val="32"/>
          <w:szCs w:val="32"/>
        </w:rPr>
        <w:t>减少</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w:t>
      </w:r>
      <w:r>
        <w:rPr>
          <w:rFonts w:hint="eastAsia" w:ascii="仿宋_GB2312" w:eastAsia="仿宋_GB2312" w:cs="DengXian-Regular"/>
          <w:sz w:val="32"/>
          <w:szCs w:val="32"/>
        </w:rPr>
        <w:t>7</w:t>
      </w:r>
      <w:r>
        <w:rPr>
          <w:rFonts w:ascii="仿宋_GB2312" w:eastAsia="仿宋_GB2312" w:cs="DengXian-Regular"/>
          <w:sz w:val="32"/>
          <w:szCs w:val="32"/>
        </w:rPr>
        <w:t>年度决算减少</w:t>
      </w:r>
      <w:r>
        <w:rPr>
          <w:rFonts w:hint="eastAsia" w:ascii="宋体" w:hAnsi="宋体" w:cs="宋体"/>
          <w:sz w:val="32"/>
          <w:szCs w:val="32"/>
        </w:rPr>
        <w:t>4.08</w:t>
      </w:r>
      <w:r>
        <w:rPr>
          <w:rFonts w:ascii="仿宋_GB2312" w:eastAsia="仿宋_GB2312" w:cs="DengXian-Regular"/>
          <w:sz w:val="32"/>
          <w:szCs w:val="32"/>
        </w:rPr>
        <w:t>万元，降低</w:t>
      </w:r>
      <w:r>
        <w:rPr>
          <w:rFonts w:hint="eastAsia" w:ascii="仿宋_GB2312" w:eastAsia="仿宋_GB2312" w:cs="DengXian-Regular"/>
          <w:sz w:val="32"/>
          <w:szCs w:val="32"/>
        </w:rPr>
        <w:t>36</w:t>
      </w:r>
      <w:r>
        <w:rPr>
          <w:rFonts w:ascii="仿宋_GB2312" w:eastAsia="仿宋_GB2312" w:cs="DengXian-Regular"/>
          <w:sz w:val="32"/>
          <w:szCs w:val="32"/>
        </w:rPr>
        <w:t>%，主要是</w:t>
      </w:r>
      <w:r>
        <w:rPr>
          <w:rFonts w:hint="eastAsia" w:ascii="仿宋_GB2312" w:eastAsia="仿宋_GB2312" w:cs="DengXian-Regular"/>
          <w:sz w:val="32"/>
          <w:szCs w:val="32"/>
        </w:rPr>
        <w:t>公车改革及相关工作的开展，相关支出</w:t>
      </w:r>
      <w:r>
        <w:rPr>
          <w:rFonts w:hint="eastAsia" w:ascii="仿宋" w:hAnsi="仿宋" w:eastAsia="仿宋" w:cs="DengXian-Regular"/>
          <w:sz w:val="32"/>
          <w:szCs w:val="32"/>
        </w:rPr>
        <w:t>逐渐</w:t>
      </w:r>
      <w:r>
        <w:rPr>
          <w:rFonts w:hint="eastAsia" w:ascii="仿宋_GB2312" w:eastAsia="仿宋_GB2312" w:cs="DengXian-Regular"/>
          <w:sz w:val="32"/>
          <w:szCs w:val="32"/>
        </w:rPr>
        <w:t>减少</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0.21</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7</w:t>
      </w:r>
      <w:r>
        <w:rPr>
          <w:rFonts w:eastAsia="仿宋_GB2312"/>
          <w:sz w:val="32"/>
          <w:szCs w:val="32"/>
        </w:rPr>
        <w:t>批次、</w:t>
      </w:r>
      <w:r>
        <w:rPr>
          <w:rFonts w:hint="eastAsia" w:eastAsia="仿宋_GB2312"/>
          <w:sz w:val="32"/>
          <w:szCs w:val="32"/>
        </w:rPr>
        <w:t>75</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0.59</w:t>
      </w:r>
      <w:r>
        <w:rPr>
          <w:rFonts w:eastAsia="仿宋_GB2312"/>
          <w:sz w:val="32"/>
          <w:szCs w:val="32"/>
        </w:rPr>
        <w:t>万元，增长（降低）</w:t>
      </w:r>
      <w:r>
        <w:rPr>
          <w:rFonts w:hint="eastAsia" w:eastAsia="仿宋_GB2312"/>
          <w:sz w:val="32"/>
          <w:szCs w:val="32"/>
        </w:rPr>
        <w:t>73</w:t>
      </w:r>
      <w:r>
        <w:rPr>
          <w:rFonts w:eastAsia="仿宋_GB2312"/>
          <w:sz w:val="32"/>
          <w:szCs w:val="32"/>
        </w:rPr>
        <w:t>%，主要是</w:t>
      </w:r>
      <w:r>
        <w:rPr>
          <w:rFonts w:hint="eastAsia" w:ascii="仿宋" w:hAnsi="仿宋" w:eastAsia="仿宋" w:cs="仿宋_GB2312"/>
          <w:color w:val="333333"/>
          <w:sz w:val="32"/>
          <w:szCs w:val="32"/>
          <w:shd w:val="clear" w:color="auto" w:fill="FFFFFF"/>
        </w:rPr>
        <w:t>根据上级精神，我单位厉行节约，缩减经费</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0.04</w:t>
      </w:r>
      <w:r>
        <w:rPr>
          <w:rFonts w:eastAsia="仿宋_GB2312"/>
          <w:sz w:val="32"/>
          <w:szCs w:val="32"/>
        </w:rPr>
        <w:t>万元，增长</w:t>
      </w:r>
      <w:r>
        <w:rPr>
          <w:rFonts w:hint="eastAsia" w:eastAsia="仿宋_GB2312"/>
          <w:sz w:val="32"/>
          <w:szCs w:val="32"/>
        </w:rPr>
        <w:t>23</w:t>
      </w:r>
      <w:r>
        <w:rPr>
          <w:rFonts w:eastAsia="仿宋_GB2312"/>
          <w:sz w:val="32"/>
          <w:szCs w:val="32"/>
        </w:rPr>
        <w:t>%</w:t>
      </w:r>
      <w:r>
        <w:rPr>
          <w:rFonts w:hint="eastAsia"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（一）预算绩效管理工作开展情况。</w:t>
      </w:r>
    </w:p>
    <w:p>
      <w:pPr>
        <w:ind w:firstLine="800" w:firstLineChars="250"/>
        <w:rPr>
          <w:rFonts w:ascii="仿宋" w:hAnsi="仿宋" w:eastAsia="仿宋" w:cs="仿宋"/>
          <w:sz w:val="32"/>
          <w:szCs w:val="32"/>
        </w:rPr>
      </w:pPr>
      <w:r>
        <w:rPr>
          <w:rFonts w:hint="eastAsia" w:ascii="仿宋" w:hAnsi="仿宋" w:eastAsia="仿宋" w:cs="仿宋"/>
          <w:sz w:val="32"/>
          <w:szCs w:val="32"/>
        </w:rPr>
        <w:t>1、绩效评价的工作组织</w:t>
      </w:r>
    </w:p>
    <w:p>
      <w:pPr>
        <w:ind w:firstLine="640" w:firstLineChars="200"/>
        <w:rPr>
          <w:rFonts w:ascii="仿宋" w:hAnsi="仿宋" w:eastAsia="仿宋" w:cs="仿宋"/>
          <w:sz w:val="32"/>
          <w:szCs w:val="32"/>
        </w:rPr>
      </w:pPr>
      <w:r>
        <w:rPr>
          <w:rFonts w:hint="eastAsia" w:ascii="仿宋" w:hAnsi="仿宋" w:eastAsia="仿宋" w:cs="仿宋"/>
          <w:sz w:val="32"/>
          <w:szCs w:val="32"/>
        </w:rPr>
        <w:t>为加强财政性发展专项资金项目绩效评价工作，本部门成立财政资金绩效评价工作小组，由财务部门及单位相关负责同志为成员。工作小组办公室设在财务室，负责制定绩效评价工作实施方案，组织协调相关工作。</w:t>
      </w:r>
    </w:p>
    <w:p>
      <w:pPr>
        <w:ind w:firstLine="800" w:firstLineChars="250"/>
        <w:rPr>
          <w:rFonts w:ascii="仿宋" w:hAnsi="仿宋" w:eastAsia="仿宋" w:cs="仿宋"/>
          <w:sz w:val="32"/>
          <w:szCs w:val="32"/>
        </w:rPr>
      </w:pPr>
      <w:r>
        <w:rPr>
          <w:rFonts w:hint="eastAsia" w:ascii="仿宋" w:hAnsi="仿宋" w:eastAsia="仿宋" w:cs="仿宋"/>
          <w:sz w:val="32"/>
          <w:szCs w:val="32"/>
        </w:rPr>
        <w:t>2、评价范围</w:t>
      </w:r>
    </w:p>
    <w:p>
      <w:pPr>
        <w:ind w:firstLine="640" w:firstLineChars="200"/>
        <w:rPr>
          <w:rFonts w:ascii="仿宋" w:hAnsi="仿宋" w:eastAsia="仿宋" w:cs="仿宋"/>
          <w:sz w:val="32"/>
          <w:szCs w:val="32"/>
        </w:rPr>
      </w:pPr>
      <w:r>
        <w:rPr>
          <w:rFonts w:hint="eastAsia" w:ascii="仿宋" w:hAnsi="仿宋" w:eastAsia="仿宋" w:cs="仿宋"/>
          <w:sz w:val="32"/>
          <w:szCs w:val="32"/>
        </w:rPr>
        <w:t>2018年度财政预算安排项目，县政府确定的县重点工程。</w:t>
      </w:r>
    </w:p>
    <w:p>
      <w:pPr>
        <w:ind w:firstLine="800" w:firstLineChars="250"/>
        <w:rPr>
          <w:rFonts w:ascii="仿宋" w:hAnsi="仿宋" w:eastAsia="仿宋" w:cs="仿宋"/>
          <w:sz w:val="32"/>
          <w:szCs w:val="32"/>
        </w:rPr>
      </w:pPr>
      <w:r>
        <w:rPr>
          <w:rFonts w:hint="eastAsia" w:ascii="仿宋" w:hAnsi="仿宋" w:eastAsia="仿宋" w:cs="仿宋"/>
          <w:sz w:val="32"/>
          <w:szCs w:val="32"/>
        </w:rPr>
        <w:t>3、绩效评价标准和评价方法</w:t>
      </w:r>
    </w:p>
    <w:p>
      <w:pPr>
        <w:ind w:firstLine="640" w:firstLineChars="200"/>
        <w:rPr>
          <w:rFonts w:ascii="仿宋" w:hAnsi="仿宋" w:eastAsia="仿宋" w:cs="仿宋"/>
          <w:sz w:val="32"/>
          <w:szCs w:val="32"/>
        </w:rPr>
      </w:pPr>
      <w:r>
        <w:rPr>
          <w:rFonts w:hint="eastAsia" w:ascii="仿宋" w:hAnsi="仿宋" w:eastAsia="仿宋" w:cs="仿宋"/>
          <w:sz w:val="32"/>
          <w:szCs w:val="32"/>
        </w:rPr>
        <w:t>根据文安县财政局《关于做好部门绩效评价工作的通知》开展2018年度预算项目绩效评价工作。通过对照编制项目绩效预算计划中确定的绩效目标和指标进行评价，动态监管各项资金支出和项目执行，分析绩效指标运行状态，确定的绩效目标的实现程度。</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（二）项目绩效自评结果。</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仿宋"/>
          <w:sz w:val="32"/>
          <w:szCs w:val="32"/>
        </w:rPr>
        <w:t>本部门依据2018年预算情况对各决算项目认真开展了绩效评价工作。预算项目取得了良好的经济效益、社会效益和环境效益，减少了资金使用管理中的损失浪费现象，使资金达到合理、优化配给。本部门不断强化评价结果的应用，建立预算绩效与预算安排挂钩机制，将预算项目、工作活动及综合绩效评价结果作为安排项目资金的重要依据。</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（三）重点项目绩效评价结果</w:t>
      </w:r>
    </w:p>
    <w:p>
      <w:pPr>
        <w:adjustRightInd w:val="0"/>
        <w:snapToGrid w:val="0"/>
        <w:spacing w:after="0" w:line="580" w:lineRule="exact"/>
        <w:ind w:firstLine="640" w:firstLineChars="200"/>
        <w:rPr>
          <w:rFonts w:ascii="仿宋" w:hAnsi="仿宋" w:eastAsia="仿宋" w:cs="仿宋"/>
          <w:sz w:val="32"/>
          <w:szCs w:val="32"/>
        </w:rPr>
      </w:pPr>
      <w:r>
        <w:rPr>
          <w:rFonts w:hint="eastAsia" w:ascii="仿宋" w:hAnsi="仿宋" w:eastAsia="仿宋" w:cs="仿宋"/>
          <w:sz w:val="32"/>
          <w:szCs w:val="32"/>
        </w:rPr>
        <w:t>2018年度地下水超采综合治理项目实总投资1142.23万元，其中中央资金1085.12万元，群众自筹57.11万元。批复发展节水灌溉面积</w:t>
      </w:r>
      <w:r>
        <w:rPr>
          <w:rFonts w:ascii="仿宋" w:hAnsi="仿宋" w:eastAsia="仿宋" w:cs="仿宋"/>
          <w:sz w:val="32"/>
          <w:szCs w:val="32"/>
        </w:rPr>
        <w:t>18664亩，其中小管出流面积114亩，滴灌面积155亩，微喷面积108亩，高标准管道灌溉面积18287亩。</w:t>
      </w:r>
      <w:r>
        <w:rPr>
          <w:rFonts w:hint="eastAsia" w:ascii="仿宋" w:hAnsi="仿宋" w:eastAsia="仿宋" w:cs="仿宋"/>
          <w:sz w:val="32"/>
          <w:szCs w:val="32"/>
        </w:rPr>
        <w:t>项目按原定绩效目标完成全部建设任务，完成节水灌溉面积1.8664万亩。完成面积与批复一致。严格执行《河北省财政水利发展资金使用管理实施细则》，重点项目绩效评价结果为良好。</w:t>
      </w:r>
    </w:p>
    <w:p>
      <w:pPr>
        <w:adjustRightInd w:val="0"/>
        <w:snapToGrid w:val="0"/>
        <w:spacing w:after="0" w:line="580" w:lineRule="exact"/>
        <w:ind w:firstLine="422" w:firstLineChars="200"/>
        <w:rPr>
          <w:rFonts w:ascii="黑体" w:eastAsia="黑体"/>
          <w:b/>
          <w:bCs/>
        </w:rPr>
      </w:pP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 w:hAnsi="仿宋" w:eastAsia="仿宋" w:cs="DengXian-Bold"/>
        </w:rPr>
      </w:pPr>
      <w:r>
        <w:rPr>
          <w:rFonts w:hint="eastAsia" w:ascii="仿宋" w:hAnsi="仿宋" w:eastAsia="仿宋" w:cs="DengXian-Regular"/>
          <w:sz w:val="32"/>
          <w:szCs w:val="32"/>
        </w:rPr>
        <w:t>本部门2018年度机关运行经费支出168</w:t>
      </w:r>
      <w:r>
        <w:rPr>
          <w:rFonts w:hint="eastAsia" w:ascii="仿宋" w:hAnsi="仿宋" w:eastAsia="仿宋" w:cs="宋体"/>
          <w:sz w:val="32"/>
          <w:szCs w:val="32"/>
        </w:rPr>
        <w:t>.25</w:t>
      </w:r>
      <w:r>
        <w:rPr>
          <w:rFonts w:hint="eastAsia" w:ascii="仿宋" w:hAnsi="仿宋" w:eastAsia="仿宋" w:cs="DengXian-Regular"/>
          <w:sz w:val="32"/>
          <w:szCs w:val="32"/>
        </w:rPr>
        <w:t>万元，比年初预算数增加</w:t>
      </w:r>
      <w:r>
        <w:rPr>
          <w:rFonts w:hint="eastAsia" w:ascii="仿宋" w:hAnsi="仿宋" w:eastAsia="仿宋"/>
          <w:sz w:val="32"/>
          <w:szCs w:val="32"/>
        </w:rPr>
        <w:t>59.94</w:t>
      </w:r>
      <w:r>
        <w:rPr>
          <w:rFonts w:hint="eastAsia" w:ascii="仿宋" w:hAnsi="仿宋" w:eastAsia="仿宋" w:cs="DengXian-Regular"/>
          <w:sz w:val="32"/>
          <w:szCs w:val="32"/>
        </w:rPr>
        <w:t>万元，增长</w:t>
      </w:r>
      <w:r>
        <w:rPr>
          <w:rFonts w:hint="eastAsia" w:ascii="仿宋" w:hAnsi="仿宋" w:eastAsia="仿宋"/>
          <w:sz w:val="32"/>
          <w:szCs w:val="32"/>
        </w:rPr>
        <w:t>55.34</w:t>
      </w:r>
      <w:r>
        <w:rPr>
          <w:rFonts w:hint="eastAsia" w:ascii="仿宋" w:hAnsi="仿宋" w:eastAsia="仿宋" w:cs="DengXian-Regular"/>
          <w:sz w:val="32"/>
          <w:szCs w:val="32"/>
        </w:rPr>
        <w:t xml:space="preserve"> </w:t>
      </w:r>
      <w:r>
        <w:rPr>
          <w:rFonts w:ascii="仿宋" w:hAnsi="仿宋" w:eastAsia="仿宋"/>
          <w:sz w:val="32"/>
          <w:szCs w:val="32"/>
        </w:rPr>
        <w:t>%</w:t>
      </w:r>
      <w:r>
        <w:rPr>
          <w:rFonts w:hint="eastAsia" w:ascii="仿宋" w:hAnsi="仿宋" w:eastAsia="仿宋" w:cs="DengXian-Regular"/>
          <w:sz w:val="32"/>
          <w:szCs w:val="32"/>
        </w:rPr>
        <w:t>。主要用于单位办公</w:t>
      </w:r>
      <w:r>
        <w:rPr>
          <w:rFonts w:hint="eastAsia" w:ascii="仿宋" w:hAnsi="仿宋" w:eastAsia="仿宋" w:cs="宋体"/>
          <w:sz w:val="32"/>
          <w:szCs w:val="32"/>
        </w:rPr>
        <w:t>区</w:t>
      </w:r>
      <w:r>
        <w:rPr>
          <w:rFonts w:hint="eastAsia" w:ascii="仿宋" w:hAnsi="仿宋" w:eastAsia="仿宋" w:cs="DengXian-Regular"/>
          <w:sz w:val="32"/>
          <w:szCs w:val="32"/>
        </w:rPr>
        <w:t>的日常维修、办公用房水电费、办公用房取暖费、办公用房物业管理费等日常运行支出。</w:t>
      </w:r>
      <w:r>
        <w:rPr>
          <w:rFonts w:ascii="仿宋" w:hAnsi="仿宋" w:eastAsia="仿宋"/>
          <w:sz w:val="32"/>
          <w:szCs w:val="32"/>
        </w:rPr>
        <w:t>较201</w:t>
      </w:r>
      <w:r>
        <w:rPr>
          <w:rFonts w:hint="eastAsia" w:ascii="仿宋" w:hAnsi="仿宋" w:eastAsia="仿宋"/>
          <w:sz w:val="32"/>
          <w:szCs w:val="32"/>
        </w:rPr>
        <w:t>7</w:t>
      </w:r>
      <w:r>
        <w:rPr>
          <w:rFonts w:ascii="仿宋" w:hAnsi="仿宋" w:eastAsia="仿宋"/>
          <w:sz w:val="32"/>
          <w:szCs w:val="32"/>
        </w:rPr>
        <w:t>年度决算增加</w:t>
      </w:r>
      <w:r>
        <w:rPr>
          <w:rFonts w:hint="eastAsia" w:ascii="仿宋" w:hAnsi="仿宋" w:eastAsia="仿宋"/>
          <w:sz w:val="32"/>
          <w:szCs w:val="32"/>
        </w:rPr>
        <w:t>52.65</w:t>
      </w:r>
      <w:r>
        <w:rPr>
          <w:rFonts w:ascii="仿宋" w:hAnsi="仿宋" w:eastAsia="仿宋"/>
          <w:sz w:val="32"/>
          <w:szCs w:val="32"/>
        </w:rPr>
        <w:t>万元，增长</w:t>
      </w:r>
      <w:r>
        <w:rPr>
          <w:rFonts w:hint="eastAsia" w:ascii="仿宋" w:hAnsi="仿宋" w:eastAsia="仿宋" w:cs="宋体"/>
          <w:sz w:val="32"/>
          <w:szCs w:val="32"/>
        </w:rPr>
        <w:t>45.5</w:t>
      </w:r>
      <w:r>
        <w:rPr>
          <w:rFonts w:ascii="仿宋" w:hAnsi="仿宋" w:eastAsia="仿宋"/>
          <w:sz w:val="32"/>
          <w:szCs w:val="32"/>
        </w:rPr>
        <w:t>%，</w:t>
      </w:r>
      <w:r>
        <w:rPr>
          <w:rFonts w:ascii="仿宋" w:hAnsi="仿宋" w:eastAsia="仿宋" w:cs="DengXian-Regular"/>
          <w:sz w:val="32"/>
          <w:szCs w:val="32"/>
        </w:rPr>
        <w:t>主要是</w:t>
      </w:r>
      <w:r>
        <w:rPr>
          <w:rFonts w:hint="eastAsia" w:ascii="仿宋" w:hAnsi="仿宋" w:eastAsia="仿宋" w:cs="DengXian-Regular"/>
          <w:sz w:val="32"/>
          <w:szCs w:val="32"/>
        </w:rPr>
        <w:t>2018年机关办公</w:t>
      </w:r>
      <w:r>
        <w:rPr>
          <w:rFonts w:hint="eastAsia" w:ascii="仿宋" w:hAnsi="仿宋" w:eastAsia="仿宋" w:cs="宋体"/>
          <w:sz w:val="32"/>
          <w:szCs w:val="32"/>
        </w:rPr>
        <w:t>楼</w:t>
      </w:r>
      <w:r>
        <w:rPr>
          <w:rFonts w:hint="eastAsia" w:ascii="仿宋" w:hAnsi="仿宋" w:eastAsia="仿宋" w:cs="___WRD_EMBED_SUB_39"/>
          <w:sz w:val="32"/>
          <w:szCs w:val="32"/>
        </w:rPr>
        <w:t>进行</w:t>
      </w:r>
      <w:r>
        <w:rPr>
          <w:rFonts w:hint="eastAsia" w:ascii="仿宋" w:hAnsi="仿宋" w:eastAsia="仿宋" w:cs="宋体"/>
          <w:sz w:val="32"/>
          <w:szCs w:val="32"/>
        </w:rPr>
        <w:t>了</w:t>
      </w:r>
      <w:r>
        <w:rPr>
          <w:rFonts w:hint="eastAsia" w:ascii="仿宋" w:hAnsi="仿宋" w:eastAsia="仿宋" w:cs="___WRD_EMBED_SUB_39"/>
          <w:sz w:val="32"/>
          <w:szCs w:val="32"/>
        </w:rPr>
        <w:t>维修、</w:t>
      </w:r>
      <w:r>
        <w:rPr>
          <w:rFonts w:hint="eastAsia" w:ascii="仿宋" w:hAnsi="仿宋" w:eastAsia="仿宋" w:cs="宋体"/>
          <w:sz w:val="32"/>
          <w:szCs w:val="32"/>
        </w:rPr>
        <w:t>粉</w:t>
      </w:r>
      <w:r>
        <w:rPr>
          <w:rFonts w:hint="eastAsia" w:ascii="仿宋" w:hAnsi="仿宋" w:eastAsia="仿宋" w:cs="___WRD_EMBED_SUB_39"/>
          <w:sz w:val="32"/>
          <w:szCs w:val="32"/>
        </w:rPr>
        <w:t>刷、</w:t>
      </w:r>
      <w:r>
        <w:rPr>
          <w:rFonts w:hint="eastAsia" w:ascii="仿宋" w:hAnsi="仿宋" w:eastAsia="仿宋" w:cs="宋体"/>
          <w:sz w:val="32"/>
          <w:szCs w:val="32"/>
        </w:rPr>
        <w:t>屋顶做防</w:t>
      </w:r>
      <w:r>
        <w:rPr>
          <w:rFonts w:hint="eastAsia" w:ascii="仿宋" w:hAnsi="仿宋" w:eastAsia="仿宋" w:cs="___WRD_EMBED_SUB_39"/>
          <w:sz w:val="32"/>
          <w:szCs w:val="32"/>
        </w:rPr>
        <w:t>水</w:t>
      </w:r>
      <w:r>
        <w:rPr>
          <w:rFonts w:hint="eastAsia" w:ascii="仿宋" w:hAnsi="仿宋" w:eastAsia="仿宋" w:cs="宋体"/>
          <w:sz w:val="32"/>
          <w:szCs w:val="32"/>
        </w:rPr>
        <w:t>处</w:t>
      </w:r>
      <w:r>
        <w:rPr>
          <w:rFonts w:hint="eastAsia" w:ascii="仿宋" w:hAnsi="仿宋" w:eastAsia="仿宋" w:cs="___WRD_EMBED_SUB_39"/>
          <w:sz w:val="32"/>
          <w:szCs w:val="32"/>
        </w:rPr>
        <w:t>理等</w:t>
      </w:r>
      <w:r>
        <w:rPr>
          <w:rFonts w:ascii="仿宋" w:hAnsi="仿宋" w:eastAsia="仿宋"/>
          <w:sz w:val="32"/>
          <w:szCs w:val="32"/>
        </w:rPr>
        <w:t>。</w:t>
      </w:r>
    </w:p>
    <w:p>
      <w:pPr>
        <w:widowControl/>
        <w:numPr>
          <w:ilvl w:val="0"/>
          <w:numId w:val="3"/>
        </w:numPr>
        <w:spacing w:after="0" w:line="580" w:lineRule="exact"/>
        <w:ind w:firstLine="643" w:firstLineChars="200"/>
        <w:jc w:val="left"/>
        <w:rPr>
          <w:rFonts w:hint="eastAsia" w:ascii="仿宋" w:hAnsi="仿宋" w:eastAsia="仿宋" w:cs="DengXian-Regular"/>
          <w:b/>
          <w:bCs/>
          <w:sz w:val="32"/>
          <w:szCs w:val="32"/>
          <w:lang w:val="en-US" w:eastAsia="zh-CN"/>
        </w:rPr>
      </w:pPr>
      <w:r>
        <w:rPr>
          <w:rFonts w:hint="eastAsia" w:ascii="仿宋" w:hAnsi="仿宋" w:eastAsia="仿宋" w:cs="DengXian-Regular"/>
          <w:b/>
          <w:bCs/>
          <w:sz w:val="32"/>
          <w:szCs w:val="32"/>
          <w:lang w:val="en-US" w:eastAsia="zh-CN"/>
        </w:rPr>
        <w:t>政府采购情况</w:t>
      </w:r>
    </w:p>
    <w:p>
      <w:pPr>
        <w:widowControl/>
        <w:numPr>
          <w:ilvl w:val="0"/>
          <w:numId w:val="0"/>
        </w:numPr>
        <w:spacing w:after="0" w:line="580" w:lineRule="exact"/>
        <w:ind w:firstLine="640" w:firstLineChars="200"/>
        <w:jc w:val="left"/>
        <w:rPr>
          <w:rFonts w:hint="default" w:ascii="仿宋" w:hAnsi="仿宋" w:eastAsia="仿宋" w:cs="DengXian-Regular"/>
          <w:sz w:val="32"/>
          <w:szCs w:val="32"/>
          <w:lang w:val="en-US" w:eastAsia="zh-CN"/>
        </w:rPr>
      </w:pPr>
      <w:r>
        <w:rPr>
          <w:rFonts w:hint="eastAsia" w:ascii="仿宋" w:hAnsi="仿宋" w:eastAsia="仿宋" w:cs="DengXian-Regular"/>
          <w:sz w:val="32"/>
          <w:szCs w:val="32"/>
        </w:rPr>
        <w:t>本部门2018年度政府采购支出总额262</w:t>
      </w:r>
      <w:r>
        <w:rPr>
          <w:rFonts w:hint="eastAsia" w:ascii="仿宋" w:hAnsi="仿宋" w:eastAsia="仿宋" w:cs="宋体"/>
          <w:sz w:val="32"/>
          <w:szCs w:val="32"/>
        </w:rPr>
        <w:t>9.38</w:t>
      </w:r>
      <w:r>
        <w:rPr>
          <w:rFonts w:hint="eastAsia" w:ascii="仿宋" w:hAnsi="仿宋" w:eastAsia="仿宋" w:cs="DengXian-Regular"/>
          <w:sz w:val="32"/>
          <w:szCs w:val="32"/>
        </w:rPr>
        <w:t>万元，从采购类型来看，</w:t>
      </w:r>
      <w:r>
        <w:rPr>
          <w:rFonts w:ascii="仿宋" w:hAnsi="仿宋" w:eastAsia="仿宋" w:cs="仿宋_GB2312"/>
          <w:color w:val="000000"/>
          <w:kern w:val="0"/>
          <w:sz w:val="32"/>
          <w:szCs w:val="32"/>
        </w:rPr>
        <w:t>政府采购货物支出</w:t>
      </w:r>
      <w:r>
        <w:rPr>
          <w:rFonts w:hint="eastAsia" w:ascii="仿宋" w:hAnsi="仿宋" w:eastAsia="仿宋" w:cs="仿宋_GB2312"/>
          <w:color w:val="000000"/>
          <w:kern w:val="0"/>
          <w:sz w:val="32"/>
          <w:szCs w:val="32"/>
        </w:rPr>
        <w:t>3</w:t>
      </w:r>
      <w:r>
        <w:rPr>
          <w:rFonts w:hint="eastAsia" w:ascii="仿宋" w:hAnsi="仿宋" w:eastAsia="仿宋" w:cs="宋体"/>
          <w:color w:val="000000"/>
          <w:kern w:val="0"/>
          <w:sz w:val="32"/>
          <w:szCs w:val="32"/>
        </w:rPr>
        <w:t>42.7</w:t>
      </w:r>
      <w:r>
        <w:rPr>
          <w:rFonts w:ascii="仿宋" w:hAnsi="仿宋" w:eastAsia="仿宋" w:cs="仿宋_GB2312"/>
          <w:color w:val="000000"/>
          <w:kern w:val="0"/>
          <w:sz w:val="32"/>
          <w:szCs w:val="32"/>
        </w:rPr>
        <w:t>万元、政府采购工程支出</w:t>
      </w:r>
      <w:r>
        <w:rPr>
          <w:rFonts w:hint="eastAsia" w:ascii="仿宋" w:hAnsi="仿宋" w:eastAsia="仿宋" w:cs="仿宋_GB2312"/>
          <w:color w:val="000000"/>
          <w:kern w:val="0"/>
          <w:sz w:val="32"/>
          <w:szCs w:val="32"/>
        </w:rPr>
        <w:t>1</w:t>
      </w:r>
      <w:r>
        <w:rPr>
          <w:rFonts w:hint="eastAsia" w:ascii="仿宋" w:hAnsi="仿宋" w:eastAsia="仿宋" w:cs="宋体"/>
          <w:color w:val="000000"/>
          <w:kern w:val="0"/>
          <w:sz w:val="32"/>
          <w:szCs w:val="32"/>
        </w:rPr>
        <w:t>999.69</w:t>
      </w:r>
      <w:r>
        <w:rPr>
          <w:rFonts w:ascii="仿宋" w:hAnsi="仿宋" w:eastAsia="仿宋" w:cs="仿宋_GB2312"/>
          <w:color w:val="000000"/>
          <w:kern w:val="0"/>
          <w:sz w:val="32"/>
          <w:szCs w:val="32"/>
        </w:rPr>
        <w:t>万元、政府采购服务支出</w:t>
      </w:r>
      <w:r>
        <w:rPr>
          <w:rFonts w:hint="eastAsia" w:ascii="仿宋" w:hAnsi="仿宋" w:eastAsia="仿宋" w:cs="仿宋_GB2312"/>
          <w:color w:val="000000"/>
          <w:kern w:val="0"/>
          <w:sz w:val="32"/>
          <w:szCs w:val="32"/>
        </w:rPr>
        <w:t>286</w:t>
      </w:r>
      <w:r>
        <w:rPr>
          <w:rFonts w:hint="eastAsia" w:ascii="仿宋" w:hAnsi="仿宋" w:eastAsia="仿宋" w:cs="宋体"/>
          <w:color w:val="000000"/>
          <w:kern w:val="0"/>
          <w:sz w:val="32"/>
          <w:szCs w:val="32"/>
        </w:rPr>
        <w:t>.99</w:t>
      </w:r>
      <w:r>
        <w:rPr>
          <w:rFonts w:ascii="仿宋" w:hAnsi="仿宋" w:eastAsia="仿宋" w:cs="仿宋_GB2312"/>
          <w:color w:val="000000"/>
          <w:kern w:val="0"/>
          <w:sz w:val="32"/>
          <w:szCs w:val="32"/>
        </w:rPr>
        <w:t>万元。</w:t>
      </w:r>
      <w:r>
        <w:rPr>
          <w:rFonts w:hint="eastAsia" w:ascii="仿宋" w:hAnsi="仿宋" w:eastAsia="仿宋" w:cs="仿宋_GB2312"/>
          <w:color w:val="000000"/>
          <w:kern w:val="0"/>
          <w:sz w:val="32"/>
          <w:szCs w:val="32"/>
          <w:lang w:eastAsia="zh-CN"/>
        </w:rPr>
        <w:t>授予中小企业合同金额</w:t>
      </w:r>
      <w:r>
        <w:rPr>
          <w:rFonts w:hint="eastAsia" w:ascii="仿宋" w:hAnsi="仿宋" w:eastAsia="仿宋" w:cs="仿宋_GB2312"/>
          <w:color w:val="000000"/>
          <w:kern w:val="0"/>
          <w:sz w:val="32"/>
          <w:szCs w:val="32"/>
          <w:lang w:val="en-US" w:eastAsia="zh-CN"/>
        </w:rPr>
        <w:t>0万元，占政府采购支出总额的0%，其中授予小微企业合同金额0万元，占政府采购支出总额的0%。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 w:hAnsi="仿宋" w:eastAsia="仿宋" w:cs="DengXian-Regular"/>
          <w:sz w:val="32"/>
          <w:szCs w:val="32"/>
          <w:lang w:eastAsia="zh-CN"/>
        </w:rPr>
      </w:pPr>
      <w:r>
        <w:rPr>
          <w:rFonts w:hint="eastAsia" w:ascii="仿宋" w:hAnsi="仿宋" w:eastAsia="仿宋" w:cs="DengXian-Regular"/>
          <w:sz w:val="32"/>
          <w:szCs w:val="32"/>
        </w:rPr>
        <w:t>截至2018年12月31日，本部门共有车辆2辆，比上年无变化。其中，副部（省）级及以上领导用车0辆，主要领导干部用车0辆，机要通信用车0辆，应急保障用车0辆，执法执勤用车2辆，特种专业技术用车0辆，离退休干部用车0辆，其他用车0辆；单位价值</w:t>
      </w:r>
      <w:r>
        <w:rPr>
          <w:rFonts w:hint="eastAsia" w:ascii="仿宋" w:hAnsi="仿宋" w:eastAsia="仿宋" w:cs="TimesNewRomanPSMT"/>
          <w:sz w:val="32"/>
          <w:szCs w:val="32"/>
        </w:rPr>
        <w:t>50</w:t>
      </w:r>
      <w:r>
        <w:rPr>
          <w:rFonts w:hint="eastAsia" w:ascii="仿宋" w:hAnsi="仿宋" w:eastAsia="仿宋" w:cs="DengXian-Regular"/>
          <w:sz w:val="32"/>
          <w:szCs w:val="32"/>
        </w:rPr>
        <w:t>万元以上通用设备0台（套），与上年相同，单位价值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万元以上专用设备0台（套）与上年相同</w:t>
      </w:r>
      <w:r>
        <w:rPr>
          <w:rFonts w:hint="eastAsia" w:ascii="仿宋" w:hAnsi="仿宋" w:eastAsia="仿宋" w:cs="DengXian-Regular"/>
          <w:sz w:val="32"/>
          <w:szCs w:val="32"/>
          <w:lang w:eastAsia="zh-CN"/>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1、本部门2018年度国有资本经营预算财政拨款无收支及结转结余情况，故国有资本经营预算财政拨款支出决算表表以空表列示。</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BC130F7-07D2-4C48-860F-7C69BB0D687D}"/>
  </w:font>
  <w:font w:name="黑体">
    <w:panose1 w:val="02010609060101010101"/>
    <w:charset w:val="86"/>
    <w:family w:val="auto"/>
    <w:pitch w:val="default"/>
    <w:sig w:usb0="800002BF" w:usb1="38CF7CFA" w:usb2="00000016" w:usb3="00000000" w:csb0="00040001" w:csb1="00000000"/>
    <w:embedRegular r:id="rId2" w:fontKey="{9ACE0D2C-CE9A-4392-9F40-09CC18D193E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CACD755E-1463-4858-914E-96E5FAFE4A7C}"/>
  </w:font>
  <w:font w:name="楷体">
    <w:panose1 w:val="02010609060101010101"/>
    <w:charset w:val="86"/>
    <w:family w:val="modern"/>
    <w:pitch w:val="default"/>
    <w:sig w:usb0="800002BF" w:usb1="38CF7CFA" w:usb2="00000016" w:usb3="00000000" w:csb0="00040001" w:csb1="00000000"/>
    <w:embedRegular r:id="rId4" w:fontKey="{067B4218-41D1-43EE-95E6-FF247A478911}"/>
  </w:font>
  <w:font w:name="仿宋">
    <w:panose1 w:val="02010609060101010101"/>
    <w:charset w:val="86"/>
    <w:family w:val="modern"/>
    <w:pitch w:val="default"/>
    <w:sig w:usb0="800002BF" w:usb1="38CF7CFA" w:usb2="00000016" w:usb3="00000000" w:csb0="00040001" w:csb1="00000000"/>
    <w:embedRegular r:id="rId5" w:fontKey="{8B7524AB-8DA9-4735-8063-8BCEB0419748}"/>
  </w:font>
  <w:font w:name="仿宋_GB2312">
    <w:altName w:val="仿宋"/>
    <w:panose1 w:val="00000000000000000000"/>
    <w:charset w:val="86"/>
    <w:family w:val="modern"/>
    <w:pitch w:val="default"/>
    <w:sig w:usb0="00000000" w:usb1="00000000" w:usb2="00000010" w:usb3="00000000" w:csb0="00040000" w:csb1="00000000"/>
    <w:embedRegular r:id="rId6" w:fontKey="{ACDAE641-E405-4BCD-88B9-13CE909D481A}"/>
  </w:font>
  <w:font w:name="ArialUnicodeMS">
    <w:altName w:val="Malgun Gothic"/>
    <w:panose1 w:val="00000000000000000000"/>
    <w:charset w:val="81"/>
    <w:family w:val="auto"/>
    <w:pitch w:val="default"/>
    <w:sig w:usb0="00000000" w:usb1="00000000" w:usb2="00000010" w:usb3="00000000" w:csb0="00080001" w:csb1="00000000"/>
    <w:embedRegular r:id="rId7" w:fontKey="{95694C43-06CD-4211-916F-6B54D517B9D4}"/>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8" w:fontKey="{87F62276-F12B-472C-A18A-AC22BEA179ED}"/>
  </w:font>
  <w:font w:name="DengXian-Regular">
    <w:altName w:val="宋体"/>
    <w:panose1 w:val="00000000000000000000"/>
    <w:charset w:val="86"/>
    <w:family w:val="auto"/>
    <w:pitch w:val="default"/>
    <w:sig w:usb0="00000000" w:usb1="00000000" w:usb2="00000010" w:usb3="00000000" w:csb0="00040001" w:csb1="00000000"/>
    <w:embedRegular r:id="rId9" w:fontKey="{0696B142-18CF-461D-8132-FFB43FB8EB16}"/>
  </w:font>
  <w:font w:name="楷体_GB2312">
    <w:altName w:val="楷体"/>
    <w:panose1 w:val="00000000000000000000"/>
    <w:charset w:val="86"/>
    <w:family w:val="modern"/>
    <w:pitch w:val="default"/>
    <w:sig w:usb0="00000000" w:usb1="00000000" w:usb2="00000010" w:usb3="00000000" w:csb0="00040000" w:csb1="00000000"/>
    <w:embedRegular r:id="rId10" w:fontKey="{9F363F80-FD13-48BB-AE56-871534EC272E}"/>
  </w:font>
  <w:font w:name="DengXian-Bold">
    <w:altName w:val="宋体"/>
    <w:panose1 w:val="00000000000000000000"/>
    <w:charset w:val="86"/>
    <w:family w:val="auto"/>
    <w:pitch w:val="default"/>
    <w:sig w:usb0="00000000" w:usb1="00000000" w:usb2="00000010" w:usb3="00000000" w:csb0="00040001" w:csb1="00000000"/>
    <w:embedRegular r:id="rId11" w:fontKey="{74E840BB-778E-4585-8B3A-7073F39C950C}"/>
  </w:font>
  <w:font w:name="___WRD_EMBED_SUB_39">
    <w:panose1 w:val="02010609030101010101"/>
    <w:charset w:val="86"/>
    <w:family w:val="modern"/>
    <w:pitch w:val="default"/>
    <w:sig w:usb0="00000000" w:usb1="00000000" w:usb2="00000000" w:usb3="00000000" w:csb0="00000000" w:csb1="00000000"/>
    <w:embedRegular r:id="rId12" w:fontKey="{9FA44326-06ED-4D96-BC13-2262FCB9A894}"/>
  </w:font>
  <w:font w:name="TimesNewRomanPSMT">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C1C87"/>
    <w:multiLevelType w:val="multilevel"/>
    <w:tmpl w:val="2FFC1C87"/>
    <w:lvl w:ilvl="0" w:tentative="0">
      <w:start w:val="1"/>
      <w:numFmt w:val="japaneseCounting"/>
      <w:lvlText w:val="（%1）"/>
      <w:lvlJc w:val="left"/>
      <w:pPr>
        <w:ind w:left="1789" w:hanging="108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675FD584"/>
    <w:multiLevelType w:val="singleLevel"/>
    <w:tmpl w:val="675FD584"/>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01312"/>
    <w:rsid w:val="00020FAF"/>
    <w:rsid w:val="00022474"/>
    <w:rsid w:val="00024E7F"/>
    <w:rsid w:val="000475A0"/>
    <w:rsid w:val="00050A23"/>
    <w:rsid w:val="0005656D"/>
    <w:rsid w:val="00067693"/>
    <w:rsid w:val="000702E6"/>
    <w:rsid w:val="00073648"/>
    <w:rsid w:val="00081DC8"/>
    <w:rsid w:val="000838C3"/>
    <w:rsid w:val="000B2446"/>
    <w:rsid w:val="000B4B4A"/>
    <w:rsid w:val="000D11B0"/>
    <w:rsid w:val="000D7C65"/>
    <w:rsid w:val="000E2F81"/>
    <w:rsid w:val="00101F8D"/>
    <w:rsid w:val="00117946"/>
    <w:rsid w:val="00117E2C"/>
    <w:rsid w:val="001331FF"/>
    <w:rsid w:val="00146C47"/>
    <w:rsid w:val="00152FB8"/>
    <w:rsid w:val="00176658"/>
    <w:rsid w:val="0018239E"/>
    <w:rsid w:val="00195D7D"/>
    <w:rsid w:val="001A17B9"/>
    <w:rsid w:val="001B3410"/>
    <w:rsid w:val="001B7503"/>
    <w:rsid w:val="001C030D"/>
    <w:rsid w:val="001C4A84"/>
    <w:rsid w:val="001E5902"/>
    <w:rsid w:val="001E7862"/>
    <w:rsid w:val="0022623D"/>
    <w:rsid w:val="00233705"/>
    <w:rsid w:val="00246D99"/>
    <w:rsid w:val="00257266"/>
    <w:rsid w:val="00262306"/>
    <w:rsid w:val="00275CA2"/>
    <w:rsid w:val="00277597"/>
    <w:rsid w:val="00280252"/>
    <w:rsid w:val="002A2C50"/>
    <w:rsid w:val="002A65A5"/>
    <w:rsid w:val="002C04C4"/>
    <w:rsid w:val="002D08B0"/>
    <w:rsid w:val="002D1AE3"/>
    <w:rsid w:val="002F2ECE"/>
    <w:rsid w:val="00340674"/>
    <w:rsid w:val="00341C8F"/>
    <w:rsid w:val="0035463A"/>
    <w:rsid w:val="00391D9D"/>
    <w:rsid w:val="003B6C51"/>
    <w:rsid w:val="003C1413"/>
    <w:rsid w:val="003C46DC"/>
    <w:rsid w:val="003C549F"/>
    <w:rsid w:val="003D5A16"/>
    <w:rsid w:val="003E7DB3"/>
    <w:rsid w:val="004245F4"/>
    <w:rsid w:val="00431175"/>
    <w:rsid w:val="004374A3"/>
    <w:rsid w:val="00462B22"/>
    <w:rsid w:val="004866EE"/>
    <w:rsid w:val="00493686"/>
    <w:rsid w:val="004B6E37"/>
    <w:rsid w:val="004C32BA"/>
    <w:rsid w:val="004C68EF"/>
    <w:rsid w:val="00575922"/>
    <w:rsid w:val="005A3C0D"/>
    <w:rsid w:val="005A6C90"/>
    <w:rsid w:val="005B37E6"/>
    <w:rsid w:val="005E3FB0"/>
    <w:rsid w:val="005E59AB"/>
    <w:rsid w:val="005F4B66"/>
    <w:rsid w:val="005F5208"/>
    <w:rsid w:val="00602294"/>
    <w:rsid w:val="00615472"/>
    <w:rsid w:val="00615C31"/>
    <w:rsid w:val="00633CCC"/>
    <w:rsid w:val="006354B7"/>
    <w:rsid w:val="00641318"/>
    <w:rsid w:val="0064405D"/>
    <w:rsid w:val="00654442"/>
    <w:rsid w:val="00695557"/>
    <w:rsid w:val="006D4EA7"/>
    <w:rsid w:val="0070012A"/>
    <w:rsid w:val="0070664B"/>
    <w:rsid w:val="007071B8"/>
    <w:rsid w:val="007155C2"/>
    <w:rsid w:val="007414DE"/>
    <w:rsid w:val="00753EC8"/>
    <w:rsid w:val="00760C0C"/>
    <w:rsid w:val="00786B02"/>
    <w:rsid w:val="007905A9"/>
    <w:rsid w:val="007E072B"/>
    <w:rsid w:val="007E2B83"/>
    <w:rsid w:val="007E5500"/>
    <w:rsid w:val="007F055B"/>
    <w:rsid w:val="00811C2F"/>
    <w:rsid w:val="00833D46"/>
    <w:rsid w:val="00836215"/>
    <w:rsid w:val="00840A97"/>
    <w:rsid w:val="008714F7"/>
    <w:rsid w:val="00872B02"/>
    <w:rsid w:val="00873292"/>
    <w:rsid w:val="00875A21"/>
    <w:rsid w:val="008A640A"/>
    <w:rsid w:val="008C0149"/>
    <w:rsid w:val="008D5DED"/>
    <w:rsid w:val="008E25CA"/>
    <w:rsid w:val="008F34FC"/>
    <w:rsid w:val="008F7DFF"/>
    <w:rsid w:val="009102FC"/>
    <w:rsid w:val="00931805"/>
    <w:rsid w:val="00944CD7"/>
    <w:rsid w:val="00957082"/>
    <w:rsid w:val="00961190"/>
    <w:rsid w:val="009831B2"/>
    <w:rsid w:val="009A1ABE"/>
    <w:rsid w:val="009E21A4"/>
    <w:rsid w:val="009E6323"/>
    <w:rsid w:val="009F22C6"/>
    <w:rsid w:val="00A07E50"/>
    <w:rsid w:val="00A12C15"/>
    <w:rsid w:val="00A12E8D"/>
    <w:rsid w:val="00A15397"/>
    <w:rsid w:val="00A35CE0"/>
    <w:rsid w:val="00A4462E"/>
    <w:rsid w:val="00A44AA4"/>
    <w:rsid w:val="00A61623"/>
    <w:rsid w:val="00A84687"/>
    <w:rsid w:val="00AA0458"/>
    <w:rsid w:val="00AB0A0E"/>
    <w:rsid w:val="00AD3B6E"/>
    <w:rsid w:val="00AD4F9E"/>
    <w:rsid w:val="00AD522F"/>
    <w:rsid w:val="00AF4280"/>
    <w:rsid w:val="00AF6D31"/>
    <w:rsid w:val="00B1751F"/>
    <w:rsid w:val="00B50F96"/>
    <w:rsid w:val="00B521AD"/>
    <w:rsid w:val="00B56722"/>
    <w:rsid w:val="00B67044"/>
    <w:rsid w:val="00B74D39"/>
    <w:rsid w:val="00B778D0"/>
    <w:rsid w:val="00B827C6"/>
    <w:rsid w:val="00B91DA4"/>
    <w:rsid w:val="00BA7174"/>
    <w:rsid w:val="00BE3563"/>
    <w:rsid w:val="00C12630"/>
    <w:rsid w:val="00C34562"/>
    <w:rsid w:val="00C3774E"/>
    <w:rsid w:val="00C57456"/>
    <w:rsid w:val="00C65387"/>
    <w:rsid w:val="00C712ED"/>
    <w:rsid w:val="00C87FAB"/>
    <w:rsid w:val="00C91FF7"/>
    <w:rsid w:val="00C92D15"/>
    <w:rsid w:val="00C94E53"/>
    <w:rsid w:val="00CE3FC3"/>
    <w:rsid w:val="00D0048E"/>
    <w:rsid w:val="00D159FF"/>
    <w:rsid w:val="00D23E7A"/>
    <w:rsid w:val="00D4096B"/>
    <w:rsid w:val="00D56896"/>
    <w:rsid w:val="00D56D8F"/>
    <w:rsid w:val="00D61063"/>
    <w:rsid w:val="00D85132"/>
    <w:rsid w:val="00D91354"/>
    <w:rsid w:val="00DB35AF"/>
    <w:rsid w:val="00DC1A24"/>
    <w:rsid w:val="00DD72D7"/>
    <w:rsid w:val="00DE6DDE"/>
    <w:rsid w:val="00DF1DB5"/>
    <w:rsid w:val="00DF5B88"/>
    <w:rsid w:val="00E0589E"/>
    <w:rsid w:val="00E0697F"/>
    <w:rsid w:val="00E241FA"/>
    <w:rsid w:val="00E2595E"/>
    <w:rsid w:val="00E30757"/>
    <w:rsid w:val="00E35374"/>
    <w:rsid w:val="00E50C19"/>
    <w:rsid w:val="00E63E34"/>
    <w:rsid w:val="00E64655"/>
    <w:rsid w:val="00E73081"/>
    <w:rsid w:val="00E856C9"/>
    <w:rsid w:val="00EA4F68"/>
    <w:rsid w:val="00EB6A8B"/>
    <w:rsid w:val="00EC6814"/>
    <w:rsid w:val="00ED411D"/>
    <w:rsid w:val="00EE2696"/>
    <w:rsid w:val="00EF38C6"/>
    <w:rsid w:val="00EF5558"/>
    <w:rsid w:val="00F1564E"/>
    <w:rsid w:val="00F679C7"/>
    <w:rsid w:val="00F7711A"/>
    <w:rsid w:val="00F80C72"/>
    <w:rsid w:val="00FA0D58"/>
    <w:rsid w:val="00FA1580"/>
    <w:rsid w:val="00FA56F4"/>
    <w:rsid w:val="00FB4EDA"/>
    <w:rsid w:val="00FD3BD5"/>
    <w:rsid w:val="00FE3DC8"/>
    <w:rsid w:val="04073F84"/>
    <w:rsid w:val="0B60750A"/>
    <w:rsid w:val="10686488"/>
    <w:rsid w:val="10DF728A"/>
    <w:rsid w:val="1264200E"/>
    <w:rsid w:val="141C5B77"/>
    <w:rsid w:val="18D8339D"/>
    <w:rsid w:val="19870ED0"/>
    <w:rsid w:val="1A21388F"/>
    <w:rsid w:val="1A570D2F"/>
    <w:rsid w:val="1A66455D"/>
    <w:rsid w:val="20D02878"/>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33038E"/>
    <w:rsid w:val="72902E62"/>
    <w:rsid w:val="73C61104"/>
    <w:rsid w:val="776452EA"/>
    <w:rsid w:val="79D51053"/>
    <w:rsid w:val="7DC663B9"/>
    <w:rsid w:val="7E0524FF"/>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5E4AAAAD-3BF8-492E-AB38-40C7EEC1E2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925</Words>
  <Characters>5278</Characters>
  <Lines>43</Lines>
  <Paragraphs>12</Paragraphs>
  <TotalTime>1</TotalTime>
  <ScaleCrop>false</ScaleCrop>
  <LinksUpToDate>false</LinksUpToDate>
  <CharactersWithSpaces>6191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2021-05-27T08:45:58Z</dcterms:modified>
  <dc:subject>石家庄市xxx部门</dc:subject>
  <dc:title>2017年度部门决算</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5E9C2442C6344E9881A745BAF8D381E4</vt:lpwstr>
  </property>
</Properties>
</file>